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8F939">
      <w:pPr>
        <w:pStyle w:val="19"/>
        <w:ind w:left="0" w:leftChars="0" w:firstLine="0" w:firstLineChars="0"/>
        <w:outlineLvl w:val="0"/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 w:val="0"/>
          <w:sz w:val="24"/>
        </w:rPr>
        <w:t>附件2</w:t>
      </w:r>
      <w:r>
        <w:rPr>
          <w:rFonts w:hint="eastAsia" w:asciiTheme="minorEastAsia" w:hAnsiTheme="minorEastAsia" w:eastAsiaTheme="minorEastAsia" w:cstheme="minorEastAsia"/>
          <w:b/>
          <w:bCs w:val="0"/>
          <w:sz w:val="24"/>
          <w:lang w:val="en-US" w:eastAsia="zh-CN"/>
        </w:rPr>
        <w:t>-1</w:t>
      </w:r>
    </w:p>
    <w:p w14:paraId="4F3BF0AC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outlineLvl w:val="0"/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  <w:t>中国医学科学院肿瘤医院山西医院（山西省肿瘤医院）</w:t>
      </w:r>
    </w:p>
    <w:p w14:paraId="0D5B8535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="0" w:leftChars="0" w:firstLine="0" w:firstLineChars="0"/>
        <w:textAlignment w:val="auto"/>
        <w:outlineLvl w:val="0"/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</w:pPr>
      <w:r>
        <w:rPr>
          <w:rFonts w:hint="eastAsia" w:ascii="方正公文小标宋" w:hAnsi="方正公文小标宋" w:eastAsia="方正公文小标宋" w:cs="方正公文小标宋"/>
          <w:b w:val="0"/>
          <w:kern w:val="2"/>
          <w:sz w:val="32"/>
          <w:szCs w:val="32"/>
          <w:lang w:val="en-US" w:eastAsia="zh-CN" w:bidi="ar-SA"/>
        </w:rPr>
        <w:t>质子中心建设项目“建设规划设计方案编制”采购需求</w:t>
      </w:r>
    </w:p>
    <w:p w14:paraId="0FE0A50E">
      <w:pPr>
        <w:pStyle w:val="2"/>
        <w:numPr>
          <w:ilvl w:val="0"/>
          <w:numId w:val="1"/>
        </w:numPr>
        <w:tabs>
          <w:tab w:val="left" w:pos="963"/>
        </w:tabs>
        <w:topLinePunct w:val="0"/>
        <w:ind w:left="0" w:leftChars="0" w:firstLine="482" w:firstLineChars="200"/>
        <w:rPr>
          <w:rFonts w:eastAsia="宋体"/>
          <w:b/>
          <w:bCs/>
          <w:sz w:val="24"/>
          <w:szCs w:val="30"/>
          <w:highlight w:val="none"/>
        </w:rPr>
      </w:pPr>
      <w:r>
        <w:rPr>
          <w:rFonts w:ascii="宋体" w:hAnsi="宋体" w:eastAsia="宋体" w:cs="宋体"/>
          <w:b/>
          <w:bCs/>
          <w:sz w:val="24"/>
          <w:szCs w:val="30"/>
          <w:highlight w:val="none"/>
        </w:rPr>
        <w:t>采购需求</w:t>
      </w:r>
    </w:p>
    <w:p w14:paraId="1DF3F2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</w:pPr>
      <w:r>
        <w:rPr>
          <w:rFonts w:ascii="Times New Roman" w:hAnsi="Times New Roman" w:eastAsia="宋体" w:cs="Times New Roman"/>
          <w:b w:val="0"/>
          <w:bCs w:val="0"/>
          <w:sz w:val="24"/>
        </w:rPr>
        <w:t>为提升山西省肿瘤医院的医疗服务综合能力，为人民群众提供科学、方便、高效、快捷的医疗</w:t>
      </w:r>
      <w:bookmarkStart w:id="0" w:name="_GoBack"/>
      <w:bookmarkEnd w:id="0"/>
      <w:r>
        <w:rPr>
          <w:rFonts w:ascii="Times New Roman" w:hAnsi="Times New Roman" w:eastAsia="宋体" w:cs="Times New Roman"/>
          <w:b w:val="0"/>
          <w:bCs w:val="0"/>
          <w:sz w:val="24"/>
        </w:rPr>
        <w:t>服务，提升医院精细化管理水平，扎实推进区域肿瘤医疗中心建设。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按照《山西省政府投资管理办法》和在线平台公开的政府投资项目审批流程，我院拟招一家经验丰富的</w:t>
      </w:r>
      <w:r>
        <w:rPr>
          <w:rFonts w:hint="eastAsia" w:ascii="Times New Roman" w:hAnsi="Times New Roman" w:eastAsia="宋体" w:cs="Times New Roman"/>
          <w:b w:val="0"/>
          <w:bCs w:val="0"/>
          <w:sz w:val="24"/>
          <w:highlight w:val="none"/>
          <w:lang w:val="en-US" w:eastAsia="zh-CN"/>
        </w:rPr>
        <w:t>建设规划设计方案的编制</w:t>
      </w:r>
      <w:r>
        <w:rPr>
          <w:rFonts w:ascii="Times New Roman" w:hAnsi="Times New Roman" w:eastAsia="宋体" w:cs="Times New Roman"/>
          <w:b w:val="0"/>
          <w:bCs w:val="0"/>
          <w:sz w:val="24"/>
        </w:rPr>
        <w:t>单位按照甲方的要求协助甲方完成以下内容：</w:t>
      </w:r>
    </w:p>
    <w:p w14:paraId="3DF77C23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0" w:firstLineChars="200"/>
        <w:textAlignment w:val="auto"/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质子中心建设规划设计方案编制、方案优化、规划报建配套技术服务、专项论证方案、评审汇报及多轮修改配合。</w:t>
      </w:r>
    </w:p>
    <w:p w14:paraId="5EA880E4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</w:rPr>
      </w:pPr>
      <w:r>
        <w:rPr>
          <w:rFonts w:ascii="Times New Roman" w:hAnsi="Times New Roman" w:eastAsia="宋体" w:cs="Times New Roman"/>
          <w:b/>
          <w:bCs w:val="0"/>
          <w:sz w:val="24"/>
        </w:rPr>
        <w:t>总体规划与建筑方案设计</w:t>
      </w:r>
    </w:p>
    <w:p w14:paraId="4BACF105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场地总体规划：选址适宜性分析、总平面布局、出入口分流（患者、医护、污物、设备吊装通道）、交通组织、竖向、消防环路、绿化、与现有医院院区衔接、远期预留扩建条件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4C425471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建筑方案：功能分区、流线设计（洁污分流、患者 / 物理师 / 设备维修独立流线）、楼层布局、层高、荷载预判、设备吊装口、运输通道、检修空间；方案充分考虑质子机房大体积屏蔽体自重、重型设备运输安装需求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57A50410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外观、立面、景观、室外配套方案，满足规划部门风貌管控要求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74650B93">
      <w:pPr>
        <w:pStyle w:val="12"/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782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782" w:leftChars="0" w:hanging="300" w:firstLine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主要技术经济指标表：用地面积、建筑面积、容积率、建筑密度、绿地率、机动车非机动车停车位等规划指标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1B65F58F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tabs>
          <w:tab w:val="left" w:pos="120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</w:rPr>
      </w:pPr>
      <w:r>
        <w:rPr>
          <w:rFonts w:ascii="Times New Roman" w:hAnsi="Times New Roman" w:eastAsia="宋体" w:cs="Times New Roman"/>
          <w:b/>
          <w:bCs w:val="0"/>
          <w:sz w:val="24"/>
        </w:rPr>
        <w:t>配套报批及评审服务（包干，不再另行收费）</w:t>
      </w:r>
    </w:p>
    <w:p w14:paraId="6C267360">
      <w:pPr>
        <w:pStyle w:val="12"/>
        <w:keepNext w:val="0"/>
        <w:keepLines w:val="0"/>
        <w:pageBreakBefore w:val="0"/>
        <w:widowControl/>
        <w:numPr>
          <w:numId w:val="0"/>
        </w:numPr>
        <w:tabs>
          <w:tab w:val="left" w:pos="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82" w:left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1.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对接自然资源局规划科，按规划报规要求调整图纸、指标、文本；配合规划公示、规划方案审查会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0D68EE58">
      <w:pPr>
        <w:pStyle w:val="12"/>
        <w:keepNext w:val="0"/>
        <w:keepLines w:val="0"/>
        <w:pageBreakBefore w:val="0"/>
        <w:widowControl/>
        <w:numPr>
          <w:numId w:val="0"/>
        </w:numPr>
        <w:tabs>
          <w:tab w:val="left" w:pos="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82" w:left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2.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对接辐射预评价单位、环评单位、卫健甲类设备配置评审专家，提供方案资料、答疑、修改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4E3D1BB4">
      <w:pPr>
        <w:pStyle w:val="12"/>
        <w:keepNext w:val="0"/>
        <w:keepLines w:val="0"/>
        <w:pageBreakBefore w:val="0"/>
        <w:widowControl/>
        <w:numPr>
          <w:numId w:val="0"/>
        </w:numPr>
        <w:tabs>
          <w:tab w:val="left" w:pos="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82" w:left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3.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编制方案评审 PPT、方案比选汇报材料，参加方案专家评审会、规委会、院内论证会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15DCEE2F">
      <w:pPr>
        <w:pStyle w:val="12"/>
        <w:keepNext w:val="0"/>
        <w:keepLines w:val="0"/>
        <w:pageBreakBefore w:val="0"/>
        <w:widowControl/>
        <w:numPr>
          <w:numId w:val="0"/>
        </w:numPr>
        <w:tabs>
          <w:tab w:val="left" w:pos="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82" w:left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4.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根据规划、专家、卫健、生态环境部门意见免费多轮优化调整方案，直至规划方案审查通过</w:t>
      </w:r>
      <w:r>
        <w:rPr>
          <w:rFonts w:hint="eastAsia" w:cs="Times New Roman"/>
          <w:b w:val="0"/>
          <w:bCs w:val="0"/>
          <w:sz w:val="24"/>
          <w:highlight w:val="none"/>
          <w:lang w:eastAsia="zh-CN"/>
        </w:rPr>
        <w:t>。</w:t>
      </w:r>
    </w:p>
    <w:p w14:paraId="212DCB8A">
      <w:pPr>
        <w:pStyle w:val="12"/>
        <w:keepNext w:val="0"/>
        <w:keepLines w:val="0"/>
        <w:pageBreakBefore w:val="0"/>
        <w:widowControl/>
        <w:numPr>
          <w:numId w:val="0"/>
        </w:numPr>
        <w:tabs>
          <w:tab w:val="left" w:pos="78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482" w:leftChars="0"/>
        <w:textAlignment w:val="auto"/>
        <w:rPr>
          <w:rFonts w:eastAsia="宋体"/>
          <w:b w:val="0"/>
          <w:bCs w:val="0"/>
          <w:sz w:val="24"/>
          <w:highlight w:val="none"/>
        </w:rPr>
      </w:pP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5.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方案 BIM 概念模型：场地、建筑、质子机房、屏蔽体空间布局，空间碰撞检查，输出效果图、鸟瞰图</w:t>
      </w:r>
      <w:r>
        <w:rPr>
          <w:rFonts w:hint="eastAsia" w:cs="Times New Roman"/>
          <w:b w:val="0"/>
          <w:bCs w:val="0"/>
          <w:sz w:val="24"/>
          <w:highlight w:val="none"/>
          <w:lang w:val="en-US" w:eastAsia="zh-CN"/>
        </w:rPr>
        <w:t>等。</w:t>
      </w:r>
    </w:p>
    <w:p w14:paraId="3DD1D827">
      <w:pPr>
        <w:pStyle w:val="2"/>
        <w:keepNext w:val="0"/>
        <w:keepLines w:val="0"/>
        <w:pageBreakBefore w:val="0"/>
        <w:numPr>
          <w:ilvl w:val="0"/>
          <w:numId w:val="1"/>
        </w:numPr>
        <w:tabs>
          <w:tab w:val="left" w:pos="9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360" w:lineRule="auto"/>
        <w:ind w:left="0" w:leftChars="0" w:firstLine="482" w:firstLineChars="200"/>
        <w:textAlignment w:val="auto"/>
        <w:rPr>
          <w:rFonts w:ascii="Times New Roman" w:hAnsi="Times New Roman" w:eastAsia="宋体" w:cs="Times New Roman"/>
          <w:b/>
          <w:sz w:val="24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服务商可根据采购需求需分别讲述服务、报价等相</w:t>
      </w:r>
      <w:r>
        <w:rPr>
          <w:rFonts w:ascii="Times New Roman" w:hAnsi="Times New Roman" w:eastAsia="宋体" w:cs="Times New Roman"/>
          <w:b/>
          <w:sz w:val="24"/>
        </w:rPr>
        <w:t>关内容。</w:t>
      </w:r>
    </w:p>
    <w:p w14:paraId="4C61B710">
      <w:pPr>
        <w:pStyle w:val="2"/>
        <w:keepNext w:val="0"/>
        <w:keepLines w:val="0"/>
        <w:pageBreakBefore w:val="0"/>
        <w:numPr>
          <w:ilvl w:val="0"/>
          <w:numId w:val="1"/>
        </w:numPr>
        <w:tabs>
          <w:tab w:val="left" w:pos="96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line="360" w:lineRule="auto"/>
        <w:ind w:left="0" w:leftChars="0" w:firstLine="482" w:firstLineChars="200"/>
        <w:textAlignment w:val="auto"/>
        <w:rPr>
          <w:rFonts w:eastAsia="宋体"/>
          <w:b/>
          <w:bCs/>
          <w:sz w:val="24"/>
          <w:szCs w:val="30"/>
        </w:rPr>
      </w:pPr>
      <w:r>
        <w:rPr>
          <w:rFonts w:ascii="宋体" w:hAnsi="宋体" w:eastAsia="宋体" w:cs="宋体"/>
          <w:b/>
          <w:bCs/>
          <w:sz w:val="24"/>
          <w:szCs w:val="30"/>
        </w:rPr>
        <w:t>项目概况</w:t>
      </w:r>
    </w:p>
    <w:p w14:paraId="2F0D5A28">
      <w:pPr>
        <w:pStyle w:val="12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1"/>
        </w:rPr>
        <w:t>建设地址: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太原市杏花岭区凯旋街山西省肿瘤医院本院区西南侧。 </w:t>
      </w:r>
    </w:p>
    <w:p w14:paraId="224F5EDD">
      <w:pPr>
        <w:pStyle w:val="12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1"/>
        </w:rPr>
        <w:t>建设内容及规模: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项目总建筑面积81200平方米，其中: 地上建筑面积46800平方米、地下建筑面积34400平方米。建设内容主要包括:质子中心住院楼、质子中心教培楼、能源中心、 污水处理站、液氧站、地下室(含质子设备及治疗区)、架空平台及连廊、院区联通道以及室外配套基础设施等。 </w:t>
      </w:r>
    </w:p>
    <w:p w14:paraId="26CE7B44">
      <w:pPr>
        <w:pStyle w:val="12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</w:rPr>
      </w:pPr>
      <w:r>
        <w:rPr>
          <w:rStyle w:val="21"/>
        </w:rPr>
        <w:t>总投资及资金来源: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 xml:space="preserve">项目总投资76375.88万元，其中: 工程费用62475.72万元，工程建设其他费用6956.90万元，预备费用6943.26万元。资金来源为申请省级财政资金、省级基本建设资金、地方政府专项债券以及医院自筹等多渠道筹措解决。 </w:t>
      </w:r>
    </w:p>
    <w:p w14:paraId="49707959">
      <w:pPr>
        <w:pStyle w:val="12"/>
        <w:keepNext w:val="0"/>
        <w:keepLines w:val="0"/>
        <w:pageBreakBefore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textAlignment w:val="auto"/>
        <w:rPr>
          <w:rFonts w:hint="eastAsia" w:eastAsia="宋体"/>
          <w:b/>
          <w:bCs w:val="0"/>
          <w:sz w:val="24"/>
          <w:highlight w:val="none"/>
          <w:lang w:val="en-US" w:eastAsia="zh-CN"/>
        </w:rPr>
      </w:pPr>
      <w:r>
        <w:rPr>
          <w:rStyle w:val="21"/>
        </w:rPr>
        <w:t>建设工期:</w:t>
      </w:r>
      <w:r>
        <w:rPr>
          <w:rFonts w:ascii="Times New Roman" w:hAnsi="Times New Roman" w:eastAsia="宋体" w:cs="Times New Roman"/>
          <w:b w:val="0"/>
          <w:bCs w:val="0"/>
          <w:sz w:val="24"/>
          <w:highlight w:val="none"/>
        </w:rPr>
        <w:t>40个月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E8BA9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B4CCEE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B4CCEE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70AE56"/>
    <w:multiLevelType w:val="multilevel"/>
    <w:tmpl w:val="B870AE5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2666F876"/>
    <w:multiLevelType w:val="singleLevel"/>
    <w:tmpl w:val="2666F876"/>
    <w:lvl w:ilvl="0" w:tentative="0">
      <w:start w:val="1"/>
      <w:numFmt w:val="chineseCounting"/>
      <w:suff w:val="nothing"/>
      <w:lvlText w:val="（%1）"/>
      <w:lvlJc w:val="left"/>
      <w:pPr>
        <w:ind w:left="0" w:firstLine="482"/>
      </w:pPr>
      <w:rPr>
        <w:rFonts w:hint="eastAsia"/>
      </w:rPr>
    </w:lvl>
  </w:abstractNum>
  <w:abstractNum w:abstractNumId="2">
    <w:nsid w:val="34E107EC"/>
    <w:multiLevelType w:val="singleLevel"/>
    <w:tmpl w:val="34E107EC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3">
    <w:nsid w:val="7295906D"/>
    <w:multiLevelType w:val="singleLevel"/>
    <w:tmpl w:val="7295906D"/>
    <w:lvl w:ilvl="0" w:tentative="0">
      <w:start w:val="1"/>
      <w:numFmt w:val="chineseCounting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D5983"/>
    <w:rsid w:val="035C6255"/>
    <w:rsid w:val="05311C2E"/>
    <w:rsid w:val="067C7C72"/>
    <w:rsid w:val="085A6AD7"/>
    <w:rsid w:val="0D4263E3"/>
    <w:rsid w:val="0D75742F"/>
    <w:rsid w:val="0EF65050"/>
    <w:rsid w:val="1163119F"/>
    <w:rsid w:val="11E670E9"/>
    <w:rsid w:val="121B73C6"/>
    <w:rsid w:val="17025A48"/>
    <w:rsid w:val="175A3BA9"/>
    <w:rsid w:val="176E775D"/>
    <w:rsid w:val="1A3566C9"/>
    <w:rsid w:val="1B96154E"/>
    <w:rsid w:val="1D477E44"/>
    <w:rsid w:val="23294AEC"/>
    <w:rsid w:val="247D253B"/>
    <w:rsid w:val="2D600A72"/>
    <w:rsid w:val="2DB544A0"/>
    <w:rsid w:val="2EC753E2"/>
    <w:rsid w:val="311C3F6B"/>
    <w:rsid w:val="32AB5B3C"/>
    <w:rsid w:val="32CA3CCA"/>
    <w:rsid w:val="3439114E"/>
    <w:rsid w:val="36DE4967"/>
    <w:rsid w:val="38920F7F"/>
    <w:rsid w:val="3AFC1B06"/>
    <w:rsid w:val="3B464C42"/>
    <w:rsid w:val="433B7393"/>
    <w:rsid w:val="5079410E"/>
    <w:rsid w:val="546E5A28"/>
    <w:rsid w:val="5A0B412F"/>
    <w:rsid w:val="5ECB15A2"/>
    <w:rsid w:val="61931174"/>
    <w:rsid w:val="65096174"/>
    <w:rsid w:val="68A42E8E"/>
    <w:rsid w:val="6908128F"/>
    <w:rsid w:val="6AF74642"/>
    <w:rsid w:val="731F249B"/>
    <w:rsid w:val="780853E2"/>
    <w:rsid w:val="7A4374D2"/>
    <w:rsid w:val="7AA008BF"/>
    <w:rsid w:val="7C811F9B"/>
    <w:rsid w:val="7D9C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widowControl w:val="0"/>
      <w:spacing w:before="240" w:beforeLines="0" w:after="120" w:line="360" w:lineRule="auto"/>
      <w:jc w:val="left"/>
      <w:outlineLvl w:val="0"/>
    </w:pPr>
    <w:rPr>
      <w:rFonts w:ascii="宋体" w:hAnsi="宋体" w:eastAsia="宋体" w:cs="宋体"/>
      <w:b/>
      <w:bCs/>
      <w:kern w:val="44"/>
      <w:sz w:val="24"/>
      <w:szCs w:val="30"/>
    </w:rPr>
  </w:style>
  <w:style w:type="paragraph" w:styleId="3">
    <w:name w:val="heading 2"/>
    <w:next w:val="1"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jc w:val="left"/>
      <w:outlineLvl w:val="1"/>
    </w:pPr>
    <w:rPr>
      <w:rFonts w:ascii="Times New Roman" w:hAnsi="Times New Roman" w:eastAsia="宋体" w:cs="Times New Roman"/>
      <w:b/>
      <w:sz w:val="24"/>
    </w:rPr>
  </w:style>
  <w:style w:type="paragraph" w:styleId="4">
    <w:name w:val="heading 3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jc w:val="left"/>
      <w:outlineLvl w:val="2"/>
    </w:pPr>
    <w:rPr>
      <w:rFonts w:ascii="Times New Roman" w:hAnsi="Times New Roman" w:eastAsia="宋体" w:cs="Times New Roman"/>
      <w:b/>
      <w:sz w:val="24"/>
    </w:rPr>
  </w:style>
  <w:style w:type="paragraph" w:styleId="5">
    <w:name w:val="heading 4"/>
    <w:next w:val="1"/>
    <w:semiHidden/>
    <w:unhideWhenUsed/>
    <w:qFormat/>
    <w:uiPriority w:val="0"/>
    <w:pPr>
      <w:keepNext w:val="0"/>
      <w:keepLines w:val="0"/>
      <w:widowControl w:val="0"/>
      <w:spacing w:beforeAutospacing="0" w:after="120" w:afterAutospacing="0" w:line="360" w:lineRule="auto"/>
      <w:outlineLvl w:val="3"/>
    </w:pPr>
    <w:rPr>
      <w:rFonts w:ascii="Times New Roman" w:hAnsi="Times New Roman" w:eastAsia="宋体" w:cs="Times New Roman"/>
      <w:sz w:val="24"/>
    </w:rPr>
  </w:style>
  <w:style w:type="paragraph" w:styleId="6">
    <w:name w:val="heading 5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440" w:lineRule="exact"/>
      <w:jc w:val="left"/>
      <w:outlineLvl w:val="4"/>
    </w:pPr>
    <w:rPr>
      <w:rFonts w:ascii="Times New Roman" w:hAnsi="Times New Roman" w:eastAsia="宋体" w:cs="Times New Roman"/>
      <w:sz w:val="24"/>
    </w:rPr>
  </w:style>
  <w:style w:type="paragraph" w:styleId="7">
    <w:name w:val="heading 6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5"/>
    </w:pPr>
    <w:rPr>
      <w:rFonts w:ascii="Times New Roman" w:hAnsi="Times New Roman" w:eastAsia="宋体" w:cs="Times New Roman"/>
      <w:sz w:val="24"/>
    </w:rPr>
  </w:style>
  <w:style w:type="paragraph" w:styleId="8">
    <w:name w:val="heading 7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6"/>
    </w:pPr>
    <w:rPr>
      <w:rFonts w:ascii="Times New Roman" w:hAnsi="Times New Roman" w:eastAsia="宋体" w:cs="Times New Roman"/>
      <w:sz w:val="24"/>
    </w:rPr>
  </w:style>
  <w:style w:type="paragraph" w:styleId="9">
    <w:name w:val="heading 8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7"/>
    </w:pPr>
    <w:rPr>
      <w:rFonts w:ascii="Times New Roman" w:hAnsi="Times New Roman" w:eastAsia="宋体" w:cs="Times New Roman"/>
      <w:sz w:val="24"/>
    </w:rPr>
  </w:style>
  <w:style w:type="paragraph" w:styleId="10">
    <w:name w:val="heading 9"/>
    <w:next w:val="1"/>
    <w:semiHidden/>
    <w:unhideWhenUsed/>
    <w:qFormat/>
    <w:uiPriority w:val="0"/>
    <w:pPr>
      <w:keepNext w:val="0"/>
      <w:keepLines w:val="0"/>
      <w:widowControl w:val="0"/>
      <w:spacing w:beforeLines="0" w:beforeAutospacing="0" w:after="120" w:afterLines="0" w:afterAutospacing="0" w:line="360" w:lineRule="auto"/>
      <w:jc w:val="left"/>
      <w:outlineLvl w:val="8"/>
    </w:pPr>
    <w:rPr>
      <w:rFonts w:ascii="Times New Roman" w:hAnsi="Times New Roman" w:eastAsia="宋体" w:cs="Times New Roman"/>
      <w:sz w:val="24"/>
    </w:rPr>
  </w:style>
  <w:style w:type="character" w:default="1" w:styleId="18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Body Text"/>
    <w:uiPriority w:val="0"/>
    <w:pPr>
      <w:widowControl w:val="0"/>
      <w:spacing w:after="120" w:afterAutospacing="0"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Subtitle"/>
    <w:qFormat/>
    <w:uiPriority w:val="0"/>
    <w:pPr>
      <w:widowControl w:val="0"/>
      <w:spacing w:beforeLines="0" w:beforeAutospacing="0" w:after="240" w:afterLines="0" w:afterAutospacing="0" w:line="240" w:lineRule="auto"/>
      <w:jc w:val="center"/>
      <w:outlineLvl w:val="9"/>
    </w:pPr>
    <w:rPr>
      <w:rFonts w:ascii="Times New Roman" w:hAnsi="Times New Roman" w:eastAsia="宋体" w:cs="Times New Roman"/>
      <w:kern w:val="28"/>
      <w:sz w:val="21"/>
    </w:rPr>
  </w:style>
  <w:style w:type="paragraph" w:styleId="16">
    <w:name w:val="Title"/>
    <w:qFormat/>
    <w:uiPriority w:val="0"/>
    <w:pPr>
      <w:spacing w:before="240" w:beforeAutospacing="0" w:after="240" w:afterAutospacing="0" w:line="240" w:lineRule="auto"/>
      <w:jc w:val="center"/>
      <w:outlineLvl w:val="9"/>
    </w:pPr>
    <w:rPr>
      <w:rFonts w:ascii="Times New Roman" w:hAnsi="Times New Roman" w:eastAsia="宋体" w:cs="Times New Roman"/>
      <w:b/>
      <w:sz w:val="32"/>
    </w:rPr>
  </w:style>
  <w:style w:type="paragraph" w:customStyle="1" w:styleId="19">
    <w:name w:val="附录标题"/>
    <w:next w:val="1"/>
    <w:uiPriority w:val="0"/>
    <w:pPr>
      <w:keepNext w:val="0"/>
      <w:keepLines w:val="0"/>
      <w:widowControl w:val="0"/>
      <w:spacing w:after="240" w:line="240" w:lineRule="auto"/>
      <w:jc w:val="left"/>
      <w:outlineLvl w:val="0"/>
    </w:pPr>
    <w:rPr>
      <w:rFonts w:ascii="Times New Roman" w:hAnsi="Times New Roman" w:eastAsia="宋体" w:cs="Times New Roman"/>
      <w:b/>
      <w:sz w:val="24"/>
    </w:rPr>
  </w:style>
  <w:style w:type="paragraph" w:customStyle="1" w:styleId="20">
    <w:name w:val="内嵌文档标题1"/>
    <w:next w:val="1"/>
    <w:qFormat/>
    <w:uiPriority w:val="0"/>
    <w:pPr>
      <w:widowControl w:val="0"/>
      <w:spacing w:before="240" w:after="240" w:line="360" w:lineRule="auto"/>
      <w:jc w:val="center"/>
      <w:outlineLvl w:val="0"/>
    </w:pPr>
    <w:rPr>
      <w:rFonts w:ascii="Times New Roman" w:hAnsi="Times New Roman" w:eastAsia="宋体" w:cs="Times New Roman"/>
      <w:b/>
      <w:kern w:val="2"/>
      <w:sz w:val="24"/>
    </w:rPr>
  </w:style>
  <w:style w:type="character" w:customStyle="1" w:styleId="21">
    <w:name w:val="强调说明"/>
    <w:qFormat/>
    <w:uiPriority w:val="0"/>
    <w:rPr>
      <w:rFonts w:ascii="Calibri" w:hAnsi="Calibri" w:eastAsia="宋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1030</Words>
  <Characters>1076</Characters>
  <Lines>0</Lines>
  <Paragraphs>0</Paragraphs>
  <TotalTime>8</TotalTime>
  <ScaleCrop>false</ScaleCrop>
  <LinksUpToDate>false</LinksUpToDate>
  <CharactersWithSpaces>1089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2025-06-10T02:05:00Z</dcterms:created>
  <dc:creator>Administrator</dc:creator>
  <cp:lastModifiedBy>牛锦柔</cp:lastModifiedBy>
  <cp:lastPrinted>2025-10-31T02:22:00Z</cp:lastPrinted>
  <dcterms:modified xsi:type="dcterms:W3CDTF">2026-10-27T07:37:43Z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eyJoZGlkIjoiYjkwM2U3YmIzMWNmZjEyMDAwNmY4NzBjODcwN2IxNWYiLCJ1c2VySWQiOiI4NjA2NDEyODQifQ==</vt:lpwstr>
  </property>
  <property fmtid="{D5CDD505-2E9C-101B-9397-08002B2CF9AE}" pid="4" name="ICV">
    <vt:lpwstr>E5E75F5972C042B784BF68D27E0A3123_13</vt:lpwstr>
  </property>
</Properties>
</file>