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72781">
      <w:pPr>
        <w:jc w:val="left"/>
        <w:rPr>
          <w:rFonts w:hint="default" w:ascii="宋体" w:hAnsi="宋体" w:eastAsia="宋体" w:cs="宋体"/>
          <w:b/>
          <w:bCs/>
          <w:sz w:val="24"/>
          <w:szCs w:val="24"/>
          <w:lang w:val="en-US" w:eastAsia="zh-CN"/>
        </w:rPr>
      </w:pPr>
      <w:r>
        <w:rPr>
          <w:rFonts w:hint="eastAsia" w:ascii="仿宋" w:hAnsi="仿宋" w:eastAsia="仿宋" w:cs="仿宋"/>
          <w:sz w:val="32"/>
          <w:szCs w:val="32"/>
        </w:rPr>
        <w:t>附件2</w:t>
      </w:r>
      <w:r>
        <w:rPr>
          <w:rFonts w:hint="eastAsia" w:ascii="仿宋" w:hAnsi="仿宋" w:eastAsia="仿宋" w:cs="仿宋"/>
          <w:sz w:val="32"/>
          <w:szCs w:val="32"/>
          <w:lang w:val="en-US" w:eastAsia="zh-CN"/>
        </w:rPr>
        <w:t>-16</w:t>
      </w:r>
    </w:p>
    <w:p w14:paraId="1A09273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山西省肿瘤医院</w:t>
      </w:r>
      <w:r>
        <w:rPr>
          <w:rFonts w:hint="eastAsia" w:ascii="微软雅黑" w:hAnsi="微软雅黑" w:eastAsia="微软雅黑" w:cs="微软雅黑"/>
          <w:b/>
          <w:bCs/>
          <w:sz w:val="24"/>
          <w:szCs w:val="24"/>
          <w:lang w:val="en-US" w:eastAsia="zh-CN"/>
        </w:rPr>
        <w:t>·</w:t>
      </w:r>
      <w:r>
        <w:rPr>
          <w:rFonts w:hint="eastAsia" w:ascii="宋体" w:hAnsi="宋体" w:eastAsia="宋体" w:cs="宋体"/>
          <w:b/>
          <w:bCs/>
          <w:sz w:val="24"/>
          <w:szCs w:val="24"/>
          <w:lang w:val="en-US" w:eastAsia="zh-CN"/>
        </w:rPr>
        <w:t>中国医学科学院肿瘤医院山西医院</w:t>
      </w:r>
    </w:p>
    <w:p w14:paraId="5969F48A">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新院区建设项目</w:t>
      </w:r>
      <w:r>
        <w:rPr>
          <w:rFonts w:hint="eastAsia" w:ascii="宋体" w:hAnsi="宋体" w:eastAsia="宋体" w:cs="宋体"/>
          <w:b/>
          <w:bCs/>
          <w:sz w:val="32"/>
          <w:szCs w:val="32"/>
          <w:lang w:eastAsia="zh-CN"/>
        </w:rPr>
        <w:t>采购需求</w:t>
      </w:r>
    </w:p>
    <w:p w14:paraId="1EF4C587">
      <w:pPr>
        <w:rPr>
          <w:rFonts w:hint="default"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一、采购范围：</w:t>
      </w:r>
      <w:r>
        <w:rPr>
          <w:rFonts w:hint="eastAsia" w:ascii="宋体" w:hAnsi="宋体" w:eastAsia="宋体" w:cs="宋体"/>
          <w:color w:val="000000" w:themeColor="text1"/>
          <w:sz w:val="32"/>
          <w:szCs w:val="32"/>
          <w:u w:val="none"/>
          <w14:textFill>
            <w14:solidFill>
              <w14:schemeClr w14:val="tx1"/>
            </w14:solidFill>
          </w14:textFill>
        </w:rPr>
        <w:t>中国医学科学院肿瘤医院山西医院新院区</w:t>
      </w:r>
      <w:r>
        <w:rPr>
          <w:rFonts w:hint="eastAsia" w:ascii="宋体" w:hAnsi="宋体" w:eastAsia="宋体" w:cs="宋体"/>
          <w:color w:val="000000" w:themeColor="text1"/>
          <w:sz w:val="32"/>
          <w:szCs w:val="32"/>
          <w:u w:val="none"/>
          <w:lang w:val="en-US" w:eastAsia="zh-CN"/>
          <w14:textFill>
            <w14:solidFill>
              <w14:schemeClr w14:val="tx1"/>
            </w14:solidFill>
          </w14:textFill>
        </w:rPr>
        <w:t>建设</w:t>
      </w:r>
      <w:r>
        <w:rPr>
          <w:rFonts w:hint="eastAsia" w:ascii="宋体" w:hAnsi="宋体" w:eastAsia="宋体" w:cs="宋体"/>
          <w:sz w:val="32"/>
          <w:szCs w:val="32"/>
          <w:u w:val="none"/>
        </w:rPr>
        <w:t>项目</w:t>
      </w:r>
      <w:r>
        <w:rPr>
          <w:rFonts w:hint="eastAsia" w:ascii="宋体" w:hAnsi="宋体" w:eastAsia="宋体" w:cs="宋体"/>
          <w:b/>
          <w:bCs/>
          <w:color w:val="auto"/>
          <w:sz w:val="32"/>
          <w:szCs w:val="32"/>
          <w:u w:val="none"/>
          <w:lang w:val="en-US" w:eastAsia="zh-CN"/>
        </w:rPr>
        <w:t>经济运行评价</w:t>
      </w:r>
      <w:r>
        <w:rPr>
          <w:rFonts w:hint="eastAsia" w:ascii="宋体" w:hAnsi="宋体" w:eastAsia="宋体" w:cs="宋体"/>
          <w:sz w:val="32"/>
          <w:szCs w:val="32"/>
          <w:u w:val="none"/>
          <w:lang w:val="en-US" w:eastAsia="zh-CN"/>
        </w:rPr>
        <w:t>的编制</w:t>
      </w:r>
    </w:p>
    <w:p w14:paraId="00BF9CA2">
      <w:pPr>
        <w:spacing w:line="360" w:lineRule="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二、特定资格要求：有效支持新院区建设项目立项文件的实施要求，编制单位保证编制文件的通过性。</w:t>
      </w:r>
    </w:p>
    <w:p w14:paraId="5359C504">
      <w:pPr>
        <w:widowControl/>
        <w:spacing w:line="360" w:lineRule="auto"/>
        <w:ind w:firstLine="640" w:firstLineChars="200"/>
        <w:jc w:val="left"/>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1. 投标人须在中华人民共和国境内注册，具有有效营业执照的企业法人或其他组织。</w:t>
      </w:r>
    </w:p>
    <w:p w14:paraId="6B60E2B4">
      <w:pPr>
        <w:widowControl/>
        <w:spacing w:line="360" w:lineRule="auto"/>
        <w:ind w:firstLine="640" w:firstLineChars="200"/>
        <w:jc w:val="left"/>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2. 投标人须具备会计师事务所执业资格证书，在人员、设备、资金等方面具有相应的能力。</w:t>
      </w:r>
    </w:p>
    <w:p w14:paraId="4DEF6701">
      <w:pPr>
        <w:widowControl/>
        <w:spacing w:line="360" w:lineRule="auto"/>
        <w:ind w:firstLine="640" w:firstLineChars="200"/>
        <w:jc w:val="left"/>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3. 拟派项目负责人须具有注册会计师执业资格证书或相关专业高级职称资格。</w:t>
      </w:r>
    </w:p>
    <w:p w14:paraId="504E8946">
      <w:pPr>
        <w:widowControl/>
        <w:spacing w:line="360" w:lineRule="auto"/>
        <w:ind w:firstLine="640" w:firstLineChars="200"/>
        <w:jc w:val="left"/>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4. 单位负责人为同一人或存在控股、管理关系的不同单位不得同时对本项目投标，否则相关投标均无效。</w:t>
      </w:r>
    </w:p>
    <w:p w14:paraId="04409A74">
      <w:pPr>
        <w:widowControl/>
        <w:spacing w:line="360" w:lineRule="auto"/>
        <w:ind w:firstLine="640" w:firstLineChars="200"/>
        <w:jc w:val="left"/>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5. 投标人在经营活动中没有重大违法记录且未被人民法院列入失信被执行人名单，以“信用中国”网站（www.creditchina.gov.cn）或中华人民共和国最高人民法院查询结果为准；国家企业信用信息公示系统中是否严重违法失信企业名单的截图。</w:t>
      </w:r>
    </w:p>
    <w:p w14:paraId="29C0EA23">
      <w:pPr>
        <w:spacing w:line="360" w:lineRule="auto"/>
        <w:ind w:firstLine="640" w:firstLineChars="200"/>
        <w:rPr>
          <w:rFonts w:hint="eastAsia" w:ascii="宋体" w:hAnsi="宋体" w:eastAsia="宋体" w:cs="宋体"/>
          <w:sz w:val="32"/>
          <w:szCs w:val="32"/>
          <w:u w:val="none"/>
          <w:lang w:val="en-US" w:eastAsia="zh-CN"/>
        </w:rPr>
      </w:pPr>
      <w:r>
        <w:rPr>
          <w:rFonts w:hint="eastAsia" w:ascii="宋体" w:hAnsi="宋体" w:eastAsia="宋体" w:cs="宋体"/>
          <w:snapToGrid w:val="0"/>
          <w:sz w:val="32"/>
          <w:szCs w:val="32"/>
          <w:lang w:val="en-US" w:eastAsia="zh-CN"/>
        </w:rPr>
        <w:t xml:space="preserve">6. </w:t>
      </w:r>
      <w:r>
        <w:rPr>
          <w:rFonts w:hint="eastAsia" w:ascii="宋体" w:hAnsi="宋体" w:eastAsia="宋体" w:cs="宋体"/>
          <w:sz w:val="32"/>
          <w:szCs w:val="32"/>
        </w:rPr>
        <w:t>本项目不接受联合体投标。</w:t>
      </w:r>
    </w:p>
    <w:p w14:paraId="0D688CF3">
      <w:pPr>
        <w:numPr>
          <w:ilvl w:val="0"/>
          <w:numId w:val="0"/>
        </w:num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三、服务期限（服务）/质保期（货物）：根据招标文件相关要求执行。</w:t>
      </w:r>
    </w:p>
    <w:p w14:paraId="00FA35DD">
      <w:pPr>
        <w:numPr>
          <w:ilvl w:val="0"/>
          <w:numId w:val="0"/>
        </w:numPr>
        <w:rPr>
          <w:rFonts w:hint="eastAsia" w:ascii="宋体" w:hAnsi="宋体" w:eastAsia="宋体" w:cs="宋体"/>
          <w:sz w:val="32"/>
          <w:szCs w:val="32"/>
          <w:u w:val="none"/>
        </w:rPr>
      </w:pPr>
      <w:r>
        <w:rPr>
          <w:rFonts w:hint="eastAsia" w:ascii="宋体" w:hAnsi="宋体" w:eastAsia="宋体" w:cs="宋体"/>
          <w:sz w:val="32"/>
          <w:szCs w:val="32"/>
          <w:u w:val="none"/>
          <w:lang w:val="en-US" w:eastAsia="zh-CN"/>
        </w:rPr>
        <w:t>四、服务地点：拟</w:t>
      </w:r>
      <w:r>
        <w:rPr>
          <w:rFonts w:hint="eastAsia" w:ascii="宋体" w:hAnsi="宋体" w:eastAsia="宋体" w:cs="宋体"/>
          <w:sz w:val="32"/>
          <w:szCs w:val="32"/>
          <w:u w:val="none"/>
        </w:rPr>
        <w:t>选址太原市杏花岭区北沙河以东、凯旋街以南、新街南二巷以北，新村路以西。</w:t>
      </w:r>
    </w:p>
    <w:p w14:paraId="72780569">
      <w:pPr>
        <w:numPr>
          <w:ilvl w:val="0"/>
          <w:numId w:val="0"/>
        </w:num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五、付款方式：依据中标合同约定进行预付、工程进度完成支付。</w:t>
      </w:r>
    </w:p>
    <w:p w14:paraId="1B799765">
      <w:pPr>
        <w:rPr>
          <w:rFonts w:hint="eastAsia" w:ascii="宋体" w:hAnsi="宋体" w:eastAsia="宋体" w:cs="宋体"/>
          <w:sz w:val="32"/>
          <w:szCs w:val="32"/>
        </w:rPr>
      </w:pPr>
      <w:r>
        <w:rPr>
          <w:rFonts w:hint="eastAsia" w:ascii="宋体" w:hAnsi="宋体" w:eastAsia="宋体" w:cs="宋体"/>
          <w:sz w:val="32"/>
          <w:szCs w:val="32"/>
          <w:u w:val="none"/>
          <w:lang w:val="en-US" w:eastAsia="zh-CN"/>
        </w:rPr>
        <w:t>六、</w:t>
      </w:r>
      <w:r>
        <w:rPr>
          <w:rFonts w:hint="eastAsia" w:ascii="宋体" w:hAnsi="宋体" w:eastAsia="宋体" w:cs="宋体"/>
          <w:sz w:val="32"/>
          <w:szCs w:val="32"/>
        </w:rPr>
        <w:t>服务内容及技术参数</w:t>
      </w:r>
    </w:p>
    <w:p w14:paraId="37129288">
      <w:pPr>
        <w:rPr>
          <w:rFonts w:hint="eastAsia" w:ascii="宋体" w:hAnsi="宋体" w:eastAsia="宋体" w:cs="宋体"/>
          <w:sz w:val="32"/>
          <w:szCs w:val="32"/>
        </w:rPr>
      </w:pPr>
      <w:r>
        <w:rPr>
          <w:rFonts w:hint="eastAsia" w:ascii="宋体" w:hAnsi="宋体" w:eastAsia="宋体" w:cs="宋体"/>
          <w:sz w:val="32"/>
          <w:szCs w:val="32"/>
          <w:lang w:val="en-US" w:eastAsia="zh-CN"/>
        </w:rPr>
        <w:t xml:space="preserve">1. </w:t>
      </w:r>
      <w:r>
        <w:rPr>
          <w:rFonts w:hint="eastAsia" w:ascii="宋体" w:hAnsi="宋体" w:eastAsia="宋体" w:cs="宋体"/>
          <w:sz w:val="32"/>
          <w:szCs w:val="32"/>
        </w:rPr>
        <w:t>服务内容</w:t>
      </w:r>
    </w:p>
    <w:p w14:paraId="498B6B8B">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新院区计划选址太原市杏花岭区相关地块，总用地约</w:t>
      </w:r>
      <w:r>
        <w:rPr>
          <w:rFonts w:hint="eastAsia" w:ascii="宋体" w:hAnsi="宋体" w:eastAsia="宋体" w:cs="宋体"/>
          <w:sz w:val="32"/>
          <w:szCs w:val="32"/>
          <w:lang w:val="en-US" w:eastAsia="zh-CN"/>
        </w:rPr>
        <w:t>41</w:t>
      </w:r>
      <w:r>
        <w:rPr>
          <w:rFonts w:hint="eastAsia" w:ascii="宋体" w:hAnsi="宋体" w:eastAsia="宋体" w:cs="宋体"/>
          <w:sz w:val="32"/>
          <w:szCs w:val="32"/>
          <w:lang w:eastAsia="zh-CN"/>
        </w:rPr>
        <w:t>亩，预计总建筑面积约15.3万平方米，设病床900张，总投资额约16.08亿元（以批复为准）。项目采取新旧院区结合方案，用连廊和地下通道连接地块，利用北沙河绿带局部地下空间建质子放疗中心，分三期建设</w:t>
      </w:r>
      <w:r>
        <w:rPr>
          <w:rFonts w:hint="eastAsia" w:ascii="宋体" w:hAnsi="宋体" w:eastAsia="宋体" w:cs="宋体"/>
          <w:color w:val="auto"/>
          <w:sz w:val="32"/>
          <w:szCs w:val="32"/>
          <w:lang w:eastAsia="zh-CN"/>
        </w:rPr>
        <w:t>。</w:t>
      </w:r>
      <w:r>
        <w:rPr>
          <w:rFonts w:hint="eastAsia" w:ascii="宋体" w:hAnsi="宋体" w:eastAsia="宋体" w:cs="宋体"/>
          <w:sz w:val="32"/>
          <w:szCs w:val="32"/>
        </w:rPr>
        <w:t>宏观经济指标分析，评估经济总体运行状况。行业经济运行</w:t>
      </w:r>
      <w:r>
        <w:rPr>
          <w:rFonts w:hint="eastAsia" w:ascii="宋体" w:hAnsi="宋体" w:eastAsia="宋体" w:cs="宋体"/>
          <w:sz w:val="32"/>
          <w:szCs w:val="32"/>
          <w:lang w:val="en-US" w:eastAsia="zh-CN"/>
        </w:rPr>
        <w:t>评估，医疗</w:t>
      </w:r>
      <w:r>
        <w:rPr>
          <w:rFonts w:hint="eastAsia" w:ascii="宋体" w:hAnsi="宋体" w:eastAsia="宋体" w:cs="宋体"/>
          <w:sz w:val="32"/>
          <w:szCs w:val="32"/>
        </w:rPr>
        <w:t>需求等指标。经济差异分析，为政策制定提供依据。</w:t>
      </w:r>
      <w:r>
        <w:rPr>
          <w:rFonts w:hint="eastAsia" w:ascii="宋体" w:hAnsi="宋体" w:eastAsia="宋体" w:cs="宋体"/>
          <w:sz w:val="32"/>
          <w:szCs w:val="32"/>
          <w:lang w:val="en-US" w:eastAsia="zh-CN"/>
        </w:rPr>
        <w:t>通过</w:t>
      </w:r>
      <w:r>
        <w:rPr>
          <w:rFonts w:hint="eastAsia" w:ascii="宋体" w:hAnsi="宋体" w:eastAsia="宋体" w:cs="宋体"/>
          <w:sz w:val="32"/>
          <w:szCs w:val="32"/>
        </w:rPr>
        <w:t>经营状况评估企业经营状况及</w:t>
      </w:r>
      <w:r>
        <w:rPr>
          <w:rFonts w:hint="eastAsia" w:ascii="宋体" w:hAnsi="宋体" w:eastAsia="宋体" w:cs="宋体"/>
          <w:sz w:val="32"/>
          <w:szCs w:val="32"/>
          <w:lang w:val="en-US" w:eastAsia="zh-CN"/>
        </w:rPr>
        <w:t>经济能</w:t>
      </w:r>
      <w:r>
        <w:rPr>
          <w:rFonts w:hint="eastAsia" w:ascii="宋体" w:hAnsi="宋体" w:eastAsia="宋体" w:cs="宋体"/>
          <w:sz w:val="32"/>
          <w:szCs w:val="32"/>
        </w:rPr>
        <w:t>力。对政府实施的经济政策进行效果评估，分析政策对经济运行的正面影响</w:t>
      </w:r>
      <w:r>
        <w:rPr>
          <w:rFonts w:hint="eastAsia" w:ascii="宋体" w:hAnsi="宋体" w:eastAsia="宋体" w:cs="宋体"/>
          <w:sz w:val="32"/>
          <w:szCs w:val="32"/>
          <w:lang w:eastAsia="zh-CN"/>
        </w:rPr>
        <w:t>，</w:t>
      </w:r>
      <w:r>
        <w:rPr>
          <w:rFonts w:hint="eastAsia" w:ascii="宋体" w:hAnsi="宋体" w:eastAsia="宋体" w:cs="宋体"/>
          <w:sz w:val="32"/>
          <w:szCs w:val="32"/>
        </w:rPr>
        <w:t>并提出应对措施</w:t>
      </w:r>
      <w:r>
        <w:rPr>
          <w:rFonts w:hint="eastAsia" w:ascii="宋体" w:hAnsi="宋体" w:eastAsia="宋体" w:cs="宋体"/>
          <w:sz w:val="32"/>
          <w:szCs w:val="32"/>
          <w:lang w:val="en-US" w:eastAsia="zh-CN"/>
        </w:rPr>
        <w:t>报告</w:t>
      </w:r>
      <w:r>
        <w:rPr>
          <w:rFonts w:hint="eastAsia" w:ascii="宋体" w:hAnsi="宋体" w:eastAsia="宋体" w:cs="宋体"/>
          <w:sz w:val="32"/>
          <w:szCs w:val="32"/>
        </w:rPr>
        <w:t>。</w:t>
      </w:r>
    </w:p>
    <w:p w14:paraId="73DCC117">
      <w:pPr>
        <w:numPr>
          <w:ilvl w:val="0"/>
          <w:numId w:val="1"/>
        </w:numPr>
        <w:rPr>
          <w:rFonts w:hint="eastAsia" w:ascii="宋体" w:hAnsi="宋体" w:eastAsia="宋体" w:cs="宋体"/>
          <w:sz w:val="32"/>
          <w:szCs w:val="32"/>
        </w:rPr>
      </w:pPr>
      <w:r>
        <w:rPr>
          <w:rFonts w:hint="eastAsia" w:ascii="宋体" w:hAnsi="宋体" w:eastAsia="宋体" w:cs="宋体"/>
          <w:sz w:val="32"/>
          <w:szCs w:val="32"/>
        </w:rPr>
        <w:t>技术参数</w:t>
      </w:r>
    </w:p>
    <w:p w14:paraId="439FDB9C">
      <w:pP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根据分析需求，设定数据采集的频率，如月度、季度或年度，确保数据的时效性和准确性。具备高效的数据处理能力，能够处理大规模经济数据，确保分析的全面性和深入性。</w:t>
      </w:r>
    </w:p>
    <w:p w14:paraId="286163AD">
      <w:pPr>
        <w:rPr>
          <w:rFonts w:hint="eastAsia" w:ascii="宋体" w:hAnsi="宋体" w:eastAsia="宋体" w:cs="宋体"/>
          <w:sz w:val="32"/>
          <w:szCs w:val="32"/>
        </w:rPr>
      </w:pPr>
      <w:r>
        <w:rPr>
          <w:rFonts w:hint="eastAsia" w:ascii="宋体" w:hAnsi="宋体" w:eastAsia="宋体" w:cs="宋体"/>
          <w:sz w:val="32"/>
          <w:szCs w:val="32"/>
        </w:rPr>
        <w:t>通过历史数据进行验证，确保</w:t>
      </w:r>
      <w:r>
        <w:rPr>
          <w:rFonts w:hint="eastAsia" w:ascii="宋体" w:hAnsi="宋体" w:eastAsia="宋体" w:cs="宋体"/>
          <w:sz w:val="32"/>
          <w:szCs w:val="32"/>
          <w:lang w:val="en-US" w:eastAsia="zh-CN"/>
        </w:rPr>
        <w:t>评价</w:t>
      </w:r>
      <w:r>
        <w:rPr>
          <w:rFonts w:hint="eastAsia" w:ascii="宋体" w:hAnsi="宋体" w:eastAsia="宋体" w:cs="宋体"/>
          <w:sz w:val="32"/>
          <w:szCs w:val="32"/>
        </w:rPr>
        <w:t>的准确性和可靠性。运用图表、地图等可视化技术，直观展示经济运行状况，提高分析结果的可读性和易用性。确保经济运行评价系统的安全性和稳定性，保障分析工作的连续性和准确性。</w:t>
      </w:r>
    </w:p>
    <w:p w14:paraId="2256B31B">
      <w:pPr>
        <w:numPr>
          <w:ilvl w:val="0"/>
          <w:numId w:val="0"/>
        </w:num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七、服务内容及技术参数中允许负偏离条数： 0  条（除*号条款外）</w:t>
      </w:r>
    </w:p>
    <w:p w14:paraId="7AFEE23C">
      <w:pPr>
        <w:numPr>
          <w:ilvl w:val="0"/>
          <w:numId w:val="0"/>
        </w:numPr>
        <w:rPr>
          <w:rFonts w:hint="default"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八、其他要求：无</w:t>
      </w:r>
    </w:p>
    <w:p w14:paraId="5CA46C82">
      <w:pPr>
        <w:numPr>
          <w:ilvl w:val="0"/>
          <w:numId w:val="0"/>
        </w:numPr>
        <w:jc w:val="center"/>
        <w:rPr>
          <w:rFonts w:hint="default"/>
          <w:sz w:val="32"/>
          <w:szCs w:val="32"/>
          <w:lang w:val="en-US" w:eastAsia="zh-CN"/>
        </w:rPr>
      </w:pPr>
    </w:p>
    <w:p w14:paraId="25367163">
      <w:pPr>
        <w:numPr>
          <w:ilvl w:val="0"/>
          <w:numId w:val="0"/>
        </w:numPr>
        <w:jc w:val="center"/>
        <w:rPr>
          <w:rFonts w:hint="default"/>
          <w:sz w:val="32"/>
          <w:szCs w:val="32"/>
          <w:lang w:val="en-US" w:eastAsia="zh-CN"/>
        </w:rPr>
      </w:pPr>
    </w:p>
    <w:p w14:paraId="4615DB05">
      <w:pPr>
        <w:numPr>
          <w:ilvl w:val="0"/>
          <w:numId w:val="0"/>
        </w:numPr>
        <w:jc w:val="center"/>
        <w:rPr>
          <w:rFonts w:hint="default"/>
          <w:sz w:val="32"/>
          <w:szCs w:val="32"/>
          <w:lang w:val="en-US" w:eastAsia="zh-CN"/>
        </w:rPr>
      </w:pPr>
    </w:p>
    <w:p w14:paraId="7F1CF71C">
      <w:pPr>
        <w:numPr>
          <w:ilvl w:val="0"/>
          <w:numId w:val="0"/>
        </w:numPr>
        <w:jc w:val="center"/>
        <w:rPr>
          <w:rFonts w:hint="default"/>
          <w:sz w:val="32"/>
          <w:szCs w:val="32"/>
          <w:lang w:val="en-US" w:eastAsia="zh-CN"/>
        </w:rPr>
      </w:pPr>
    </w:p>
    <w:p w14:paraId="67036508">
      <w:pPr>
        <w:numPr>
          <w:ilvl w:val="0"/>
          <w:numId w:val="0"/>
        </w:numPr>
        <w:jc w:val="center"/>
        <w:rPr>
          <w:rFonts w:hint="default"/>
          <w:sz w:val="32"/>
          <w:szCs w:val="32"/>
          <w:lang w:val="en-US" w:eastAsia="zh-CN"/>
        </w:rPr>
      </w:pPr>
      <w:r>
        <w:rPr>
          <w:rFonts w:hint="eastAsia"/>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0A657"/>
    <w:multiLevelType w:val="singleLevel"/>
    <w:tmpl w:val="7510A65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D5983"/>
    <w:rsid w:val="035C6255"/>
    <w:rsid w:val="0C826D4F"/>
    <w:rsid w:val="13A3048E"/>
    <w:rsid w:val="175A3BA9"/>
    <w:rsid w:val="1B96154E"/>
    <w:rsid w:val="204A7617"/>
    <w:rsid w:val="2A2B77EA"/>
    <w:rsid w:val="2D924227"/>
    <w:rsid w:val="2DB544A0"/>
    <w:rsid w:val="37B3454D"/>
    <w:rsid w:val="3AFC1B06"/>
    <w:rsid w:val="4BD57778"/>
    <w:rsid w:val="54D545DC"/>
    <w:rsid w:val="5ECB15A2"/>
    <w:rsid w:val="750E27B9"/>
    <w:rsid w:val="781F5952"/>
    <w:rsid w:val="7AA008BF"/>
    <w:rsid w:val="7CF24A8E"/>
    <w:rsid w:val="7D407078"/>
    <w:rsid w:val="7D9C07D1"/>
    <w:rsid w:val="7DC6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968</Words>
  <Characters>1017</Characters>
  <Lines>0</Lines>
  <Paragraphs>0</Paragraphs>
  <TotalTime>1</TotalTime>
  <ScaleCrop>false</ScaleCrop>
  <LinksUpToDate>false</LinksUpToDate>
  <CharactersWithSpaces>1070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2025-06-10T02:05:00Z</dcterms:created>
  <dc:creator>Administrator</dc:creator>
  <cp:lastModifiedBy>牛锦柔</cp:lastModifiedBy>
  <cp:lastPrinted>2025-09-17T09:53:00Z</cp:lastPrinted>
  <dcterms:modified xsi:type="dcterms:W3CDTF">2025-09-18T01:59:22Z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eyJoZGlkIjoiYjkwM2U3YmIzMWNmZjEyMDAwNmY4NzBjODcwN2IxNWYiLCJ1c2VySWQiOiI4NjA2NDEyODQifQ==</vt:lpwstr>
  </property>
  <property fmtid="{D5CDD505-2E9C-101B-9397-08002B2CF9AE}" pid="4" name="ICV">
    <vt:lpwstr>1A0449F1246B4553BB0C8E74E4797D68_13</vt:lpwstr>
  </property>
</Properties>
</file>