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51DD1">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附件3</w:t>
      </w:r>
    </w:p>
    <w:p w14:paraId="2EC10B15">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32"/>
          <w:szCs w:val="32"/>
          <w:lang w:val="en-US" w:eastAsia="zh-CN" w:bidi="ar-SA"/>
        </w:rPr>
        <w:t>项目1：</w:t>
      </w:r>
    </w:p>
    <w:p w14:paraId="20FEE39A">
      <w:pPr>
        <w:jc w:val="center"/>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放射治疗科西门子大孔径CT维保项目采购需求</w:t>
      </w:r>
    </w:p>
    <w:p w14:paraId="7323AADF">
      <w:pPr>
        <w:jc w:val="both"/>
        <w:rPr>
          <w:rFonts w:hint="default"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一、设备情况</w:t>
      </w:r>
    </w:p>
    <w:p w14:paraId="7BF76344">
      <w:pPr>
        <w:keepNext w:val="0"/>
        <w:keepLines w:val="0"/>
        <w:pageBreakBefore w:val="0"/>
        <w:numPr>
          <w:ilvl w:val="0"/>
          <w:numId w:val="1"/>
        </w:numPr>
        <w:kinsoku/>
        <w:wordWrap/>
        <w:overflowPunct/>
        <w:topLinePunct w:val="0"/>
        <w:autoSpaceDE/>
        <w:autoSpaceDN/>
        <w:bidi w:val="0"/>
        <w:spacing w:after="0" w:line="360" w:lineRule="auto"/>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设备</w:t>
      </w:r>
      <w:r>
        <w:rPr>
          <w:rFonts w:hint="eastAsia" w:ascii="仿宋" w:hAnsi="仿宋" w:eastAsia="仿宋" w:cs="仿宋"/>
          <w:sz w:val="28"/>
          <w:szCs w:val="28"/>
          <w:u w:val="none"/>
          <w:lang w:val="en-US" w:eastAsia="zh-CN"/>
        </w:rPr>
        <w:t>品牌</w:t>
      </w:r>
      <w:r>
        <w:rPr>
          <w:rFonts w:hint="eastAsia" w:ascii="仿宋" w:hAnsi="仿宋" w:eastAsia="仿宋" w:cs="仿宋"/>
          <w:sz w:val="28"/>
          <w:szCs w:val="28"/>
          <w:u w:val="none"/>
        </w:rPr>
        <w:t>型号：</w:t>
      </w:r>
      <w:r>
        <w:rPr>
          <w:rFonts w:hint="eastAsia" w:ascii="仿宋" w:hAnsi="仿宋" w:eastAsia="仿宋" w:cs="仿宋"/>
          <w:sz w:val="28"/>
          <w:szCs w:val="28"/>
          <w:u w:val="none"/>
          <w:lang w:val="en-US" w:eastAsia="zh-CN"/>
        </w:rPr>
        <w:t>西门子</w:t>
      </w:r>
      <w:r>
        <w:rPr>
          <w:rFonts w:hint="eastAsia" w:ascii="仿宋_GB2312" w:hAnsi="仿宋_GB2312" w:eastAsia="仿宋_GB2312"/>
          <w:sz w:val="24"/>
          <w:u w:val="none"/>
          <w:lang w:val="en-US" w:eastAsia="zh-CN"/>
        </w:rPr>
        <w:t>SOMATOM confidence</w:t>
      </w:r>
    </w:p>
    <w:p w14:paraId="54A3C3DF">
      <w:pPr>
        <w:keepNext w:val="0"/>
        <w:keepLines w:val="0"/>
        <w:pageBreakBefore w:val="0"/>
        <w:numPr>
          <w:ilvl w:val="0"/>
          <w:numId w:val="1"/>
        </w:numPr>
        <w:kinsoku/>
        <w:wordWrap/>
        <w:overflowPunct/>
        <w:topLinePunct w:val="0"/>
        <w:autoSpaceDE/>
        <w:autoSpaceDN/>
        <w:bidi w:val="0"/>
        <w:spacing w:after="0" w:line="360" w:lineRule="auto"/>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数量：1台</w:t>
      </w:r>
    </w:p>
    <w:p w14:paraId="47D22D33">
      <w:pPr>
        <w:keepNext w:val="0"/>
        <w:keepLines w:val="0"/>
        <w:pageBreakBefore w:val="0"/>
        <w:numPr>
          <w:ilvl w:val="0"/>
          <w:numId w:val="1"/>
        </w:numPr>
        <w:kinsoku/>
        <w:wordWrap/>
        <w:overflowPunct/>
        <w:topLinePunct w:val="0"/>
        <w:autoSpaceDE/>
        <w:autoSpaceDN/>
        <w:bidi w:val="0"/>
        <w:spacing w:after="0" w:line="360" w:lineRule="auto"/>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买保年限：3年</w:t>
      </w:r>
    </w:p>
    <w:p w14:paraId="559F7872">
      <w:pPr>
        <w:keepNext w:val="0"/>
        <w:keepLines w:val="0"/>
        <w:pageBreakBefore w:val="0"/>
        <w:numPr>
          <w:ilvl w:val="0"/>
          <w:numId w:val="0"/>
        </w:numPr>
        <w:kinsoku/>
        <w:wordWrap/>
        <w:overflowPunct/>
        <w:topLinePunct w:val="0"/>
        <w:autoSpaceDE/>
        <w:autoSpaceDN/>
        <w:bidi w:val="0"/>
        <w:spacing w:after="0" w:line="360" w:lineRule="auto"/>
        <w:textAlignment w:val="auto"/>
        <w:rPr>
          <w:rFonts w:hint="eastAsia" w:ascii="仿宋" w:hAnsi="仿宋" w:eastAsia="仿宋" w:cs="仿宋"/>
          <w:sz w:val="28"/>
          <w:szCs w:val="28"/>
          <w:u w:val="none"/>
        </w:rPr>
      </w:pPr>
      <w:r>
        <w:rPr>
          <w:rFonts w:hint="eastAsia" w:ascii="仿宋" w:hAnsi="仿宋" w:eastAsia="仿宋" w:cs="仿宋"/>
          <w:b/>
          <w:bCs/>
          <w:sz w:val="28"/>
          <w:szCs w:val="28"/>
          <w:u w:val="none"/>
          <w:lang w:val="en-US" w:eastAsia="zh-CN"/>
        </w:rPr>
        <w:t>二、维保要求：</w:t>
      </w:r>
      <w:r>
        <w:rPr>
          <w:rFonts w:hint="eastAsia" w:ascii="仿宋" w:hAnsi="仿宋" w:eastAsia="仿宋" w:cs="仿宋"/>
          <w:sz w:val="28"/>
          <w:szCs w:val="28"/>
          <w:u w:val="none"/>
          <w:lang w:val="en-US" w:eastAsia="zh-CN"/>
        </w:rPr>
        <w:t xml:space="preserve">      </w:t>
      </w:r>
    </w:p>
    <w:p w14:paraId="3A015E76">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1、</w:t>
      </w:r>
      <w:r>
        <w:rPr>
          <w:rFonts w:hint="eastAsia" w:ascii="仿宋" w:hAnsi="仿宋" w:eastAsia="仿宋" w:cs="仿宋"/>
          <w:color w:val="000000" w:themeColor="text1"/>
          <w:sz w:val="28"/>
          <w:szCs w:val="28"/>
          <w:u w:val="none"/>
          <w14:textFill>
            <w14:solidFill>
              <w14:schemeClr w14:val="tx1"/>
            </w14:solidFill>
          </w14:textFill>
        </w:rPr>
        <w:t>保修范围：整机保修，包含球管、平板探测器、高压油箱等；保障相关设备所有备件免费更换。</w:t>
      </w:r>
    </w:p>
    <w:p w14:paraId="2572E24A">
      <w:pPr>
        <w:keepNext w:val="0"/>
        <w:keepLines w:val="0"/>
        <w:pageBreakBefore w:val="0"/>
        <w:kinsoku/>
        <w:wordWrap/>
        <w:overflowPunct/>
        <w:topLinePunct w:val="0"/>
        <w:autoSpaceDE/>
        <w:autoSpaceDN/>
        <w:bidi w:val="0"/>
        <w:spacing w:after="0" w:line="360" w:lineRule="auto"/>
        <w:ind w:firstLine="560" w:firstLineChars="20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2、配件要求：</w:t>
      </w:r>
      <w:r>
        <w:rPr>
          <w:rFonts w:hint="eastAsia" w:ascii="仿宋" w:hAnsi="仿宋" w:eastAsia="仿宋" w:cs="仿宋"/>
          <w:color w:val="000000" w:themeColor="text1"/>
          <w:sz w:val="28"/>
          <w:szCs w:val="28"/>
          <w:u w:val="none"/>
          <w14:textFill>
            <w14:solidFill>
              <w14:schemeClr w14:val="tx1"/>
            </w14:solidFill>
          </w14:textFill>
        </w:rPr>
        <w:t>保证更换备件为全新进口原装同型号备件。保证备件的库存，并优先提供备件供应。</w:t>
      </w:r>
    </w:p>
    <w:p w14:paraId="7582BF2A">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3、保修</w:t>
      </w:r>
      <w:r>
        <w:rPr>
          <w:rFonts w:hint="eastAsia" w:ascii="仿宋" w:hAnsi="仿宋" w:eastAsia="仿宋" w:cs="仿宋"/>
          <w:color w:val="000000" w:themeColor="text1"/>
          <w:sz w:val="28"/>
          <w:szCs w:val="28"/>
          <w:u w:val="none"/>
          <w14:textFill>
            <w14:solidFill>
              <w14:schemeClr w14:val="tx1"/>
            </w14:solidFill>
          </w14:textFill>
        </w:rPr>
        <w:t>服务</w:t>
      </w:r>
      <w:r>
        <w:rPr>
          <w:rFonts w:hint="eastAsia" w:ascii="仿宋" w:hAnsi="仿宋" w:eastAsia="仿宋" w:cs="仿宋"/>
          <w:color w:val="000000" w:themeColor="text1"/>
          <w:sz w:val="28"/>
          <w:szCs w:val="28"/>
          <w:u w:val="none"/>
          <w:lang w:val="en-US" w:eastAsia="zh-CN"/>
          <w14:textFill>
            <w14:solidFill>
              <w14:schemeClr w14:val="tx1"/>
            </w14:solidFill>
          </w14:textFill>
        </w:rPr>
        <w:t>要求：</w:t>
      </w:r>
    </w:p>
    <w:p w14:paraId="3A901C93">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（1）提供7*24小时维修服务热线支持，资深工程师提供远程在线技术咨询和维修诊断；</w:t>
      </w:r>
    </w:p>
    <w:p w14:paraId="66880192">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（2）接到报修电话后1小时内响应，如电话支持服务无法解决，工程师8小时内到达现场维修；</w:t>
      </w:r>
    </w:p>
    <w:p w14:paraId="1D1FD3D8">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（3）确保设备开机率达到95%（按一年365个日历</w:t>
      </w:r>
      <w:r>
        <w:rPr>
          <w:rFonts w:hint="eastAsia" w:ascii="仿宋" w:hAnsi="仿宋" w:eastAsia="仿宋" w:cs="仿宋"/>
          <w:color w:val="000000" w:themeColor="text1"/>
          <w:sz w:val="28"/>
          <w:szCs w:val="28"/>
          <w:u w:val="none"/>
          <w:lang w:val="en-US" w:eastAsia="zh-CN"/>
          <w14:textFill>
            <w14:solidFill>
              <w14:schemeClr w14:val="tx1"/>
            </w14:solidFill>
          </w14:textFill>
        </w:rPr>
        <w:t>天</w:t>
      </w:r>
      <w:r>
        <w:rPr>
          <w:rFonts w:hint="eastAsia" w:ascii="仿宋" w:hAnsi="仿宋" w:eastAsia="仿宋" w:cs="仿宋"/>
          <w:color w:val="000000" w:themeColor="text1"/>
          <w:sz w:val="28"/>
          <w:szCs w:val="28"/>
          <w:u w:val="none"/>
          <w14:textFill>
            <w14:solidFill>
              <w14:schemeClr w14:val="tx1"/>
            </w14:solidFill>
          </w14:textFill>
        </w:rPr>
        <w:t>计算），否则保修期按停机天数的</w:t>
      </w:r>
      <w:r>
        <w:rPr>
          <w:rFonts w:hint="eastAsia" w:ascii="仿宋" w:hAnsi="仿宋" w:eastAsia="仿宋" w:cs="仿宋"/>
          <w:color w:val="000000" w:themeColor="text1"/>
          <w:sz w:val="28"/>
          <w:szCs w:val="28"/>
          <w:u w:val="none"/>
          <w:lang w:val="en-US" w:eastAsia="zh-CN"/>
          <w14:textFill>
            <w14:solidFill>
              <w14:schemeClr w14:val="tx1"/>
            </w14:solidFill>
          </w14:textFill>
        </w:rPr>
        <w:t>3</w:t>
      </w:r>
      <w:r>
        <w:rPr>
          <w:rFonts w:hint="eastAsia" w:ascii="仿宋" w:hAnsi="仿宋" w:eastAsia="仿宋" w:cs="仿宋"/>
          <w:color w:val="000000" w:themeColor="text1"/>
          <w:sz w:val="28"/>
          <w:szCs w:val="28"/>
          <w:u w:val="none"/>
          <w14:textFill>
            <w14:solidFill>
              <w14:schemeClr w14:val="tx1"/>
            </w14:solidFill>
          </w14:textFill>
        </w:rPr>
        <w:t>倍顺延。</w:t>
      </w:r>
    </w:p>
    <w:p w14:paraId="04F8682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4、</w:t>
      </w:r>
      <w:r>
        <w:rPr>
          <w:rFonts w:hint="eastAsia" w:ascii="仿宋" w:hAnsi="仿宋" w:eastAsia="仿宋" w:cs="仿宋"/>
          <w:color w:val="000000" w:themeColor="text1"/>
          <w:sz w:val="28"/>
          <w:szCs w:val="28"/>
          <w:u w:val="none"/>
          <w14:textFill>
            <w14:solidFill>
              <w14:schemeClr w14:val="tx1"/>
            </w14:solidFill>
          </w14:textFill>
        </w:rPr>
        <w:t>定期维护保养</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t xml:space="preserve">每年提供4次定期维护保养     </w:t>
      </w:r>
    </w:p>
    <w:p w14:paraId="0C18D0AE">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themeColor="text1"/>
          <w:sz w:val="28"/>
          <w:szCs w:val="28"/>
          <w:u w:val="none"/>
          <w14:textFill>
            <w14:solidFill>
              <w14:schemeClr w14:val="tx1"/>
            </w14:solidFill>
          </w14:textFill>
        </w:rPr>
        <w:t>（1）机器清洁、性能测试及校准；（2）机械和电气检查；（3）图像质量检查；（4）预防性维护；（5）软件升级；（6）定期更换保养耗材。</w:t>
      </w:r>
    </w:p>
    <w:p w14:paraId="3A246FBB">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sz w:val="28"/>
          <w:szCs w:val="28"/>
        </w:rPr>
      </w:pPr>
      <w:r>
        <w:rPr>
          <w:rFonts w:hint="eastAsia" w:ascii="仿宋" w:hAnsi="仿宋" w:eastAsia="仿宋" w:cs="仿宋"/>
          <w:color w:val="000000"/>
          <w:kern w:val="0"/>
          <w:sz w:val="32"/>
          <w:szCs w:val="32"/>
          <w:lang w:val="en-US" w:eastAsia="zh-CN" w:bidi="ar-SA"/>
        </w:rPr>
        <w:t>项目2：</w:t>
      </w:r>
    </w:p>
    <w:p w14:paraId="1C7F0054">
      <w:pPr>
        <w:pStyle w:val="4"/>
        <w:keepNext w:val="0"/>
        <w:keepLines w:val="0"/>
        <w:pageBreakBefore w:val="0"/>
        <w:widowControl w:val="0"/>
        <w:kinsoku/>
        <w:wordWrap/>
        <w:overflowPunct/>
        <w:topLinePunct w:val="0"/>
        <w:autoSpaceDE/>
        <w:autoSpaceDN/>
        <w:bidi w:val="0"/>
        <w:adjustRightInd/>
        <w:spacing w:after="0" w:line="36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b/>
          <w:bCs/>
          <w:sz w:val="32"/>
          <w:szCs w:val="32"/>
        </w:rPr>
        <w:t>检验科全自动尿液分析流水线项目采购需求</w:t>
      </w:r>
    </w:p>
    <w:p w14:paraId="65060B33">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一、项目概况：</w:t>
      </w:r>
    </w:p>
    <w:p w14:paraId="215028FE">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1、用途：用于临床常规尿液有形成分及尿液干化学项目检测。</w:t>
      </w:r>
    </w:p>
    <w:p w14:paraId="086FDE4A">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2、数量：1套</w:t>
      </w:r>
    </w:p>
    <w:p w14:paraId="0D8E95E6">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二、产品要求：</w:t>
      </w:r>
    </w:p>
    <w:p w14:paraId="1600E294">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1、配置要求：</w:t>
      </w:r>
    </w:p>
    <w:p w14:paraId="38CF74F2">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全自动尿液干化学分析主机3台、尿有形成分分析仪主机2台、自动化进样系统（含进样器及配件）、流水线轨道系统（柜式轨道）、数据接口模块（支持网口LIS/串口LIS）、专用工作站及操作软件。</w:t>
      </w:r>
    </w:p>
    <w:p w14:paraId="1475E7C9">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2、主要技术指标：</w:t>
      </w:r>
    </w:p>
    <w:p w14:paraId="5228FAE6">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2.1 全自动干化学尿液分析仪​</w:t>
      </w:r>
    </w:p>
    <w:p w14:paraId="3C360C14">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(1)检测项目：≥14项干化学参数，并支持抗VC干扰。</w:t>
      </w:r>
    </w:p>
    <w:p w14:paraId="2E453EE1">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(2)检测速度：≥240测试/小时，支持连续进样与急诊优先模式。</w:t>
      </w:r>
    </w:p>
    <w:p w14:paraId="272EDCB1">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(3)样本处理：样本量≤2ml（少量样本可检测），无需离心或染色，支持液面感应报警。</w:t>
      </w:r>
    </w:p>
    <w:p w14:paraId="00C564A5">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(4)试纸条管理：试纸仓容量≥200条。</w:t>
      </w:r>
    </w:p>
    <w:p w14:paraId="712414C7">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(5)数据存储：≥10万条数据存储量，断电后数据不丢失，支持历史数据查询。</w:t>
      </w:r>
    </w:p>
    <w:p w14:paraId="59AC4D6E">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2.2全自动尿有形成分分析仪</w:t>
      </w:r>
    </w:p>
    <w:p w14:paraId="518AFF7C">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(1)采用流式细胞技术或数字成像技术(包括显微数字成像和平面流式图像技术），能检测尿液中红细胞、白细胞、上皮细胞、管型、结晶及病原体等常见有型成分。</w:t>
      </w:r>
    </w:p>
    <w:p w14:paraId="6F554F6E">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(2)检测速度：≥100标本/小时，支持全自动进样（样品位≥80个）及手动急诊进样。</w:t>
      </w:r>
    </w:p>
    <w:p w14:paraId="2B8E868E">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(3)图像分析：提供有形成分真实图像，具备典型细胞图库，红细胞形态提示信息≥4项。</w:t>
      </w:r>
    </w:p>
    <w:p w14:paraId="51C0908A">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(4)重复性：重复、中间精密度（CV）：红、白细胞：＞40/μL时，＜10.0％；≤40/μL时，＜15.0％。 上皮细胞：＜30.0％。管型：＜40.0％。细菌：＜20.0％；</w:t>
      </w:r>
    </w:p>
    <w:p w14:paraId="7BB5E811">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2.3流水线系统​</w:t>
      </w:r>
    </w:p>
    <w:p w14:paraId="4D7C75FC">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(1)轨道需支持模块化扩展（如四台以上设备联机），具备自动清洗、排堵功能，样本传输速度匹配整机检测需求。</w:t>
      </w:r>
    </w:p>
    <w:p w14:paraId="486A02F6">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(2)柜式设计需符合实验室空间布局，支持24小时连续运行。</w:t>
      </w:r>
    </w:p>
    <w:p w14:paraId="2E7B605C">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2.4数据接口与软件​</w:t>
      </w:r>
    </w:p>
    <w:p w14:paraId="58F3D29D">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(1)双向通讯接口支持LIS系统，报告可整合干化学与有形成分结果（含真实图像）。</w:t>
      </w:r>
    </w:p>
    <w:p w14:paraId="5F297EEF">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(2)提供中文操作软件，支持自定义报告模板及批量打印功能。</w:t>
      </w:r>
    </w:p>
    <w:p w14:paraId="0C16EAE0">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3.质保要求：整机质保不少于5年</w:t>
      </w:r>
    </w:p>
    <w:p w14:paraId="45F24CFC">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4.其他要求：</w:t>
      </w:r>
    </w:p>
    <w:p w14:paraId="3A10F6B5">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4.1需要配套耗材​</w:t>
      </w:r>
    </w:p>
    <w:p w14:paraId="450BEFC5">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(1)包含配套试剂、质控品、校准品。提供原厂配套校准品及质控品。</w:t>
      </w:r>
    </w:p>
    <w:p w14:paraId="3BF93469">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(2)试纸条需抗VC干扰，试纸仓容量≥200条，支持条码扫描自动识别。</w:t>
      </w:r>
    </w:p>
    <w:p w14:paraId="10B59CFD">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4.2要求整机支持模块化流水线连接，具备扩展能力。</w:t>
      </w:r>
    </w:p>
    <w:p w14:paraId="6E29C93C">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4.3投标品牌需在国家卫健委临检中心已开展室间质评的项目必须具备独立仪器分组，且同一样本编码下通过室间质评实验室家数≥100家（以2024年数据为准）提供网站截屏。</w:t>
      </w:r>
    </w:p>
    <w:p w14:paraId="71705A52">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32"/>
          <w:szCs w:val="32"/>
          <w:lang w:val="en-US" w:eastAsia="zh-CN" w:bidi="ar-SA"/>
        </w:rPr>
      </w:pPr>
    </w:p>
    <w:p w14:paraId="28B842A4">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项目3：</w:t>
      </w:r>
    </w:p>
    <w:p w14:paraId="52368479">
      <w:pPr>
        <w:pStyle w:val="4"/>
        <w:keepNext w:val="0"/>
        <w:keepLines w:val="0"/>
        <w:pageBreakBefore w:val="0"/>
        <w:widowControl w:val="0"/>
        <w:kinsoku/>
        <w:wordWrap/>
        <w:overflowPunct/>
        <w:topLinePunct w:val="0"/>
        <w:autoSpaceDE/>
        <w:autoSpaceDN/>
        <w:bidi w:val="0"/>
        <w:adjustRightInd/>
        <w:spacing w:after="0" w:line="360" w:lineRule="auto"/>
        <w:ind w:firstLine="0" w:firstLineChars="0"/>
        <w:jc w:val="center"/>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病理科基因分析仪项目采购需求</w:t>
      </w:r>
    </w:p>
    <w:p w14:paraId="25E61F4B">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一、项目概况：</w:t>
      </w:r>
    </w:p>
    <w:p w14:paraId="7056C41A">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 xml:space="preserve">1、用途：可应用于肿瘤突变检测、微卫星不稳定性检测、B/T细胞基因重排检测、基因片段缺失检测、融合基因检测、耐药位点检测、染色体非整倍体分析、遗传病检测、细菌、病毒基因分型和突变鉴定等。 </w:t>
      </w:r>
    </w:p>
    <w:p w14:paraId="27B4062A">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2、数量：1套</w:t>
      </w:r>
    </w:p>
    <w:p w14:paraId="628CD7CF">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二、产品要求：</w:t>
      </w:r>
    </w:p>
    <w:p w14:paraId="75BC087C">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 xml:space="preserve">1、配置要求：基因分析仪主机1台；基础序列分析软件专用电脑1台;基础数据质量分析软件1套; 片段分析分析软件 1套；低频率突变检测分析1套；测序引物设计软件 1套 </w:t>
      </w:r>
    </w:p>
    <w:p w14:paraId="70EB5706">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2、主要技术指标：</w:t>
      </w:r>
    </w:p>
    <w:p w14:paraId="32E86953">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(1)采用双脱氧末端终止法测序技术，检测通道：≥24通道毛细管系统</w:t>
      </w:r>
    </w:p>
    <w:p w14:paraId="5FB005ED">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(2)激光：≥505 nm单波长固态长寿激光源，采用标准电源供电</w:t>
      </w:r>
    </w:p>
    <w:p w14:paraId="693A4769">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(3)荧光分析功能：≥6色荧光分析能力，可检测FAM，HEX，TAMRA，NED，VIC，ROX等通用荧光染料</w:t>
      </w:r>
    </w:p>
    <w:p w14:paraId="659D5AB9">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(4)检测通量和测序读长：测序检测平均用时可达到≤30min，24小时可检测≥1100个样本；片段分析平均一次电泳运行时间可达到≤26min，24小时可检测≥1200个样本；测序读长可达到≥1000bp</w:t>
      </w:r>
    </w:p>
    <w:p w14:paraId="101327ED">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(5)片段分析精度：可达≤0.15 bp</w:t>
      </w:r>
    </w:p>
    <w:p w14:paraId="3612B634">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(6)支持耗材：仪器可适用多种耗材，包括但不限于标准8联管、快速8联管、标准96孔板、快速96孔板和384孔板。</w:t>
      </w:r>
    </w:p>
    <w:p w14:paraId="4FAE17E5">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(7)应用开放：适用的临床试剂完全开放，适用于市面上≥20种有证试剂盒，包括但不限于有证的非小细胞肺癌和肠癌靶向药物突变检测、微卫星不稳定性检测、免疫球蛋白基因重排检测等</w:t>
      </w:r>
    </w:p>
    <w:p w14:paraId="4D4F3F2F">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(8)毛细管长度：支持≥2种长度毛细管，内部无涂层毛细管阵列，包括但不限于36cm和50cm毛细管</w:t>
      </w:r>
    </w:p>
    <w:p w14:paraId="004D5804">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(9)低频率突变检测分析软件：检测≤5%的低频率突变</w:t>
      </w:r>
    </w:p>
    <w:p w14:paraId="6318B868">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3、质保要求：≥3年</w:t>
      </w:r>
    </w:p>
    <w:p w14:paraId="59F0D2D5">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4、其他要求：</w:t>
      </w:r>
    </w:p>
    <w:p w14:paraId="76ED0E02">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（1）需配套试剂耗材；</w:t>
      </w:r>
    </w:p>
    <w:p w14:paraId="11CAA15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（2）质保期内每年提供一次免费校准服务。</w:t>
      </w:r>
    </w:p>
    <w:p w14:paraId="751667AB">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32"/>
          <w:szCs w:val="32"/>
          <w:lang w:val="en-US" w:eastAsia="zh-CN" w:bidi="ar-SA"/>
        </w:rPr>
      </w:pPr>
    </w:p>
    <w:p w14:paraId="6C3C56B1">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b/>
          <w:color w:val="000000"/>
          <w:sz w:val="32"/>
          <w:szCs w:val="32"/>
          <w:u w:val="none"/>
          <w:lang w:val="en-US" w:eastAsia="zh-CN"/>
        </w:rPr>
      </w:pPr>
      <w:r>
        <w:rPr>
          <w:rFonts w:hint="eastAsia" w:ascii="仿宋" w:hAnsi="仿宋" w:eastAsia="仿宋" w:cs="仿宋"/>
          <w:color w:val="000000"/>
          <w:kern w:val="0"/>
          <w:sz w:val="32"/>
          <w:szCs w:val="32"/>
          <w:lang w:val="en-US" w:eastAsia="zh-CN" w:bidi="ar-SA"/>
        </w:rPr>
        <w:t>项目4：</w:t>
      </w:r>
    </w:p>
    <w:p w14:paraId="05D006F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8"/>
          <w:szCs w:val="28"/>
        </w:rPr>
      </w:pPr>
      <w:r>
        <w:rPr>
          <w:rFonts w:hint="eastAsia" w:ascii="仿宋" w:hAnsi="仿宋" w:eastAsia="仿宋" w:cs="仿宋"/>
          <w:b/>
          <w:color w:val="000000"/>
          <w:sz w:val="32"/>
          <w:szCs w:val="32"/>
          <w:u w:val="none"/>
          <w:lang w:val="en-US" w:eastAsia="zh-CN"/>
        </w:rPr>
        <w:t>病理科</w:t>
      </w:r>
      <w:r>
        <w:rPr>
          <w:rFonts w:hint="eastAsia" w:ascii="仿宋" w:hAnsi="仿宋" w:eastAsia="仿宋" w:cs="仿宋"/>
          <w:b/>
          <w:color w:val="000000"/>
          <w:sz w:val="32"/>
          <w:szCs w:val="32"/>
          <w:u w:val="none"/>
        </w:rPr>
        <w:t>全自动核酸提取纯化仪</w:t>
      </w:r>
      <w:r>
        <w:rPr>
          <w:rFonts w:hint="eastAsia" w:ascii="仿宋" w:hAnsi="仿宋" w:eastAsia="仿宋" w:cs="仿宋"/>
          <w:b/>
          <w:sz w:val="32"/>
          <w:szCs w:val="32"/>
        </w:rPr>
        <w:t>项目采购需求</w:t>
      </w:r>
    </w:p>
    <w:p w14:paraId="334E606E">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1F26545D">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rPr>
      </w:pPr>
      <w:r>
        <w:rPr>
          <w:rFonts w:hint="eastAsia" w:ascii="仿宋" w:hAnsi="仿宋" w:eastAsia="仿宋" w:cs="仿宋"/>
          <w:sz w:val="28"/>
          <w:szCs w:val="28"/>
        </w:rPr>
        <w:t>1、用途：可用于全血、病毒核酸 (DNA/RNA)、组织基因组DNA、植物基因组DNA、总RNA的提取、富集、纯化，其处理后的产物用于临床体外检测使用。</w:t>
      </w:r>
    </w:p>
    <w:p w14:paraId="1A5FD0E0">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rPr>
      </w:pPr>
      <w:r>
        <w:rPr>
          <w:rFonts w:hint="eastAsia" w:ascii="仿宋" w:hAnsi="仿宋" w:eastAsia="仿宋" w:cs="仿宋"/>
          <w:sz w:val="28"/>
          <w:szCs w:val="28"/>
        </w:rPr>
        <w:t>2、数量：1台</w:t>
      </w:r>
    </w:p>
    <w:p w14:paraId="3D4156D5">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二、产品要求：</w:t>
      </w:r>
    </w:p>
    <w:p w14:paraId="7C8E1F5D">
      <w:pPr>
        <w:pStyle w:val="4"/>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1、主要技术指标：</w:t>
      </w:r>
    </w:p>
    <w:p w14:paraId="4E7E222F">
      <w:pPr>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rPr>
      </w:pPr>
      <w:r>
        <w:rPr>
          <w:rFonts w:hint="eastAsia" w:ascii="仿宋" w:hAnsi="仿宋" w:eastAsia="仿宋" w:cs="仿宋"/>
          <w:sz w:val="28"/>
          <w:szCs w:val="28"/>
        </w:rPr>
        <w:t>处理样本：全血、动物组织、细菌、培养细胞、植物、病毒、血清血浆、无细胞体液、拭子、石蜡包埋组织、尿液等；</w:t>
      </w:r>
    </w:p>
    <w:p w14:paraId="22CF49F0">
      <w:pPr>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rPr>
      </w:pPr>
      <w:r>
        <w:rPr>
          <w:rFonts w:hint="eastAsia" w:ascii="仿宋" w:hAnsi="仿宋" w:eastAsia="仿宋" w:cs="仿宋"/>
          <w:sz w:val="28"/>
          <w:szCs w:val="28"/>
        </w:rPr>
        <w:t>磁珠侧吸法，全自动脱蜡，石蜡样品可直接放入样品管中进行全自动核酸提取，无需人工干预；全自动完成样品裂解、裂解液转移、核酸结合、磁珠清洗、洗脱液转移至1.5ml收集管等实验步骤的全自动操作，无需人工介入。</w:t>
      </w:r>
    </w:p>
    <w:p w14:paraId="5107FC00">
      <w:pPr>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rPr>
      </w:pPr>
      <w:r>
        <w:rPr>
          <w:rFonts w:hint="eastAsia" w:ascii="仿宋" w:hAnsi="仿宋" w:eastAsia="仿宋" w:cs="仿宋"/>
          <w:sz w:val="28"/>
          <w:szCs w:val="28"/>
        </w:rPr>
        <w:t>检测时间：提取时间为30-70min；</w:t>
      </w:r>
    </w:p>
    <w:p w14:paraId="6806BE3E">
      <w:pPr>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rPr>
      </w:pPr>
      <w:r>
        <w:rPr>
          <w:rFonts w:hint="eastAsia" w:ascii="仿宋" w:hAnsi="仿宋" w:eastAsia="仿宋" w:cs="仿宋"/>
          <w:sz w:val="28"/>
          <w:szCs w:val="28"/>
        </w:rPr>
        <w:t>核酸提取得率：200μl 新鲜全血可提取6μg以上的DNA；2ml新鲜全血可提取6μg以上的RNA；</w:t>
      </w:r>
    </w:p>
    <w:p w14:paraId="50DAB326">
      <w:pPr>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rPr>
      </w:pPr>
      <w:r>
        <w:rPr>
          <w:rFonts w:hint="eastAsia" w:ascii="仿宋" w:hAnsi="仿宋" w:eastAsia="仿宋" w:cs="仿宋"/>
          <w:sz w:val="28"/>
          <w:szCs w:val="28"/>
        </w:rPr>
        <w:t>回收率：回收率最高可达95%；提纯孔间差：CV&lt;3%；</w:t>
      </w:r>
    </w:p>
    <w:p w14:paraId="1CD64F2E">
      <w:pPr>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rPr>
      </w:pPr>
      <w:r>
        <w:rPr>
          <w:rFonts w:hint="eastAsia" w:ascii="仿宋" w:hAnsi="仿宋" w:eastAsia="仿宋" w:cs="仿宋"/>
          <w:sz w:val="28"/>
          <w:szCs w:val="28"/>
        </w:rPr>
        <w:t>污染防控：整个提取过程在固定的试剂条中进行，减少磁珠丢失、残留和其它污染物的污染风险；</w:t>
      </w:r>
    </w:p>
    <w:p w14:paraId="70517534">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t>3、质保要求：</w:t>
      </w:r>
      <w:r>
        <w:rPr>
          <w:rFonts w:hint="eastAsia" w:ascii="仿宋" w:hAnsi="仿宋" w:eastAsia="仿宋" w:cs="仿宋"/>
          <w:sz w:val="28"/>
          <w:szCs w:val="28"/>
          <w:lang w:val="en-US" w:eastAsia="zh-CN"/>
        </w:rPr>
        <w:t>不少于3年</w:t>
      </w:r>
    </w:p>
    <w:p w14:paraId="5EA8E755">
      <w:pPr>
        <w:pStyle w:val="4"/>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4、其他要求：</w:t>
      </w:r>
    </w:p>
    <w:p w14:paraId="4C1E495C">
      <w:pPr>
        <w:pStyle w:val="4"/>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需</w:t>
      </w:r>
      <w:r>
        <w:rPr>
          <w:rFonts w:hint="eastAsia" w:ascii="仿宋" w:hAnsi="仿宋" w:eastAsia="仿宋" w:cs="仿宋"/>
          <w:sz w:val="28"/>
          <w:szCs w:val="28"/>
        </w:rPr>
        <w:t>配套提取试剂</w:t>
      </w:r>
      <w:r>
        <w:rPr>
          <w:rFonts w:hint="eastAsia" w:ascii="仿宋" w:hAnsi="仿宋" w:eastAsia="仿宋" w:cs="仿宋"/>
          <w:sz w:val="28"/>
          <w:szCs w:val="28"/>
          <w:lang w:eastAsia="zh-CN"/>
        </w:rPr>
        <w:t>，</w:t>
      </w:r>
      <w:r>
        <w:rPr>
          <w:rFonts w:hint="eastAsia" w:ascii="仿宋" w:hAnsi="仿宋" w:eastAsia="仿宋" w:cs="仿宋"/>
          <w:sz w:val="28"/>
          <w:szCs w:val="28"/>
        </w:rPr>
        <w:t>使用预封装一体式的单一人份试剂条，所用磁珠为纤维素包被磁珠。可自由选择1-24个样本操作，不会浪费试剂条；</w:t>
      </w:r>
    </w:p>
    <w:p w14:paraId="055F8562">
      <w:pPr>
        <w:pStyle w:val="4"/>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每年</w:t>
      </w:r>
      <w:r>
        <w:rPr>
          <w:rFonts w:hint="eastAsia" w:ascii="仿宋" w:hAnsi="仿宋" w:eastAsia="仿宋" w:cs="仿宋"/>
          <w:sz w:val="28"/>
          <w:szCs w:val="28"/>
          <w:lang w:val="en-US" w:eastAsia="zh-CN"/>
        </w:rPr>
        <w:t>提供免费</w:t>
      </w:r>
      <w:r>
        <w:rPr>
          <w:rFonts w:hint="eastAsia" w:ascii="仿宋" w:hAnsi="仿宋" w:eastAsia="仿宋" w:cs="仿宋"/>
          <w:sz w:val="28"/>
          <w:szCs w:val="28"/>
        </w:rPr>
        <w:t>维护保养≥2次，设备校准≥1次</w:t>
      </w:r>
    </w:p>
    <w:p w14:paraId="0E91E507">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32"/>
          <w:szCs w:val="32"/>
          <w:lang w:val="en-US" w:eastAsia="zh-CN" w:bidi="ar-SA"/>
        </w:rPr>
      </w:pPr>
    </w:p>
    <w:p w14:paraId="2A247BF0">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项目5：</w:t>
      </w:r>
    </w:p>
    <w:p w14:paraId="3C1E7DEE">
      <w:pPr>
        <w:spacing w:after="0" w:line="336" w:lineRule="auto"/>
        <w:jc w:val="center"/>
        <w:rPr>
          <w:rFonts w:hint="eastAsia" w:ascii="仿宋" w:hAnsi="仿宋" w:eastAsia="仿宋" w:cs="仿宋"/>
          <w:sz w:val="28"/>
          <w:szCs w:val="28"/>
        </w:rPr>
      </w:pPr>
      <w:r>
        <w:rPr>
          <w:rFonts w:hint="eastAsia" w:ascii="仿宋" w:hAnsi="仿宋" w:eastAsia="仿宋" w:cs="仿宋"/>
          <w:b/>
          <w:color w:val="000000"/>
          <w:sz w:val="32"/>
          <w:szCs w:val="32"/>
          <w:u w:val="none"/>
          <w:lang w:val="en-US" w:eastAsia="zh-CN"/>
        </w:rPr>
        <w:t>病理科</w:t>
      </w:r>
      <w:r>
        <w:rPr>
          <w:rFonts w:hint="eastAsia" w:ascii="仿宋" w:hAnsi="仿宋" w:eastAsia="仿宋" w:cs="仿宋"/>
          <w:b/>
          <w:color w:val="000000"/>
          <w:sz w:val="32"/>
          <w:szCs w:val="32"/>
          <w:u w:val="none"/>
        </w:rPr>
        <w:t>荧光定量PCR仪</w:t>
      </w:r>
      <w:r>
        <w:rPr>
          <w:rFonts w:hint="eastAsia" w:ascii="仿宋" w:hAnsi="仿宋" w:eastAsia="仿宋" w:cs="仿宋"/>
          <w:b/>
          <w:sz w:val="32"/>
          <w:szCs w:val="32"/>
        </w:rPr>
        <w:t>项目采购需求</w:t>
      </w:r>
    </w:p>
    <w:p w14:paraId="78D1EBB9">
      <w:pPr>
        <w:adjustRightInd w:val="0"/>
        <w:snapToGrid w:val="0"/>
        <w:spacing w:after="0" w:line="360" w:lineRule="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284D175D">
      <w:pPr>
        <w:adjustRightInd w:val="0"/>
        <w:snapToGrid w:val="0"/>
        <w:spacing w:after="0" w:line="360" w:lineRule="auto"/>
        <w:rPr>
          <w:rFonts w:hint="eastAsia"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用途：对DNA和RNA进行精确定量和扩增，可用于基因表达分析、病原体检测与定量、基因分型和遗传变异分析、肿瘤基因突变分析等。</w:t>
      </w:r>
    </w:p>
    <w:p w14:paraId="308607B4">
      <w:pPr>
        <w:adjustRightInd w:val="0"/>
        <w:snapToGrid w:val="0"/>
        <w:spacing w:after="0" w:line="360" w:lineRule="auto"/>
        <w:rPr>
          <w:rFonts w:hint="eastAsia"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数量：2台</w:t>
      </w:r>
    </w:p>
    <w:p w14:paraId="20E251B8">
      <w:pPr>
        <w:adjustRightInd w:val="0"/>
        <w:snapToGrid w:val="0"/>
        <w:spacing w:after="0" w:line="360" w:lineRule="auto"/>
        <w:rPr>
          <w:rFonts w:hint="eastAsia" w:ascii="仿宋" w:hAnsi="仿宋" w:eastAsia="仿宋" w:cs="仿宋"/>
          <w:b/>
          <w:bCs/>
          <w:sz w:val="28"/>
          <w:szCs w:val="28"/>
        </w:rPr>
      </w:pPr>
      <w:r>
        <w:rPr>
          <w:rFonts w:hint="eastAsia" w:ascii="仿宋" w:hAnsi="仿宋" w:eastAsia="仿宋" w:cs="仿宋"/>
          <w:b/>
          <w:bCs/>
          <w:sz w:val="28"/>
          <w:szCs w:val="28"/>
        </w:rPr>
        <w:t>二、产品要求：</w:t>
      </w:r>
    </w:p>
    <w:p w14:paraId="2565C4B4">
      <w:pPr>
        <w:pStyle w:val="5"/>
        <w:adjustRightInd w:val="0"/>
        <w:snapToGrid w:val="0"/>
        <w:spacing w:after="0"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1、配置要求：</w:t>
      </w:r>
    </w:p>
    <w:p w14:paraId="4C380475">
      <w:pPr>
        <w:pStyle w:val="5"/>
        <w:numPr>
          <w:ilvl w:val="0"/>
          <w:numId w:val="0"/>
        </w:numPr>
        <w:adjustRightInd w:val="0"/>
        <w:snapToGrid w:val="0"/>
        <w:spacing w:after="0"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每台仪器包括：</w:t>
      </w:r>
      <w:r>
        <w:rPr>
          <w:rFonts w:hint="eastAsia" w:ascii="仿宋" w:hAnsi="仿宋" w:eastAsia="仿宋" w:cs="仿宋"/>
          <w:sz w:val="28"/>
          <w:szCs w:val="28"/>
        </w:rPr>
        <w:t>荧光定量PCR仪</w:t>
      </w:r>
      <w:r>
        <w:rPr>
          <w:rFonts w:hint="eastAsia" w:ascii="仿宋" w:hAnsi="仿宋" w:eastAsia="仿宋" w:cs="仿宋"/>
          <w:sz w:val="28"/>
          <w:szCs w:val="28"/>
          <w:lang w:val="en-US" w:eastAsia="zh-CN"/>
        </w:rPr>
        <w:t>1台，电脑及系统软件1套</w:t>
      </w:r>
      <w:r>
        <w:rPr>
          <w:rFonts w:hint="eastAsia" w:ascii="仿宋" w:hAnsi="仿宋" w:eastAsia="仿宋" w:cs="仿宋"/>
          <w:sz w:val="28"/>
          <w:szCs w:val="28"/>
        </w:rPr>
        <w:t xml:space="preserve"> </w:t>
      </w:r>
    </w:p>
    <w:p w14:paraId="27007B3F">
      <w:pPr>
        <w:pStyle w:val="5"/>
        <w:numPr>
          <w:ilvl w:val="0"/>
          <w:numId w:val="3"/>
        </w:numPr>
        <w:adjustRightInd w:val="0"/>
        <w:snapToGrid w:val="0"/>
        <w:spacing w:after="0"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主要技术指标：</w:t>
      </w:r>
    </w:p>
    <w:p w14:paraId="4498172D">
      <w:pPr>
        <w:pStyle w:val="5"/>
        <w:numPr>
          <w:ilvl w:val="0"/>
          <w:numId w:val="4"/>
        </w:numPr>
        <w:adjustRightInd w:val="0"/>
        <w:snapToGrid w:val="0"/>
        <w:spacing w:after="0" w:line="360" w:lineRule="auto"/>
        <w:ind w:firstLineChars="0"/>
        <w:rPr>
          <w:rFonts w:hint="eastAsia" w:ascii="仿宋" w:hAnsi="仿宋" w:eastAsia="仿宋" w:cs="仿宋"/>
          <w:sz w:val="28"/>
          <w:szCs w:val="28"/>
        </w:rPr>
      </w:pPr>
      <w:r>
        <w:rPr>
          <w:rFonts w:hint="eastAsia" w:ascii="仿宋" w:hAnsi="仿宋" w:eastAsia="仿宋" w:cs="仿宋"/>
          <w:sz w:val="28"/>
          <w:szCs w:val="28"/>
        </w:rPr>
        <w:t>激发光源: LED光源(免维护)</w:t>
      </w:r>
      <w:r>
        <w:rPr>
          <w:rFonts w:hint="eastAsia" w:ascii="仿宋" w:hAnsi="仿宋" w:eastAsia="仿宋" w:cs="仿宋"/>
          <w:sz w:val="28"/>
          <w:szCs w:val="28"/>
          <w:lang w:eastAsia="zh-CN"/>
        </w:rPr>
        <w:t>；</w:t>
      </w:r>
    </w:p>
    <w:p w14:paraId="7C9BD236">
      <w:pPr>
        <w:pStyle w:val="5"/>
        <w:numPr>
          <w:ilvl w:val="0"/>
          <w:numId w:val="4"/>
        </w:numPr>
        <w:adjustRightInd w:val="0"/>
        <w:snapToGrid w:val="0"/>
        <w:spacing w:after="0" w:line="360" w:lineRule="auto"/>
        <w:ind w:firstLineChars="0"/>
        <w:rPr>
          <w:rFonts w:hint="eastAsia" w:ascii="仿宋" w:hAnsi="仿宋" w:eastAsia="仿宋" w:cs="仿宋"/>
          <w:sz w:val="28"/>
          <w:szCs w:val="28"/>
        </w:rPr>
      </w:pPr>
      <w:r>
        <w:rPr>
          <w:rFonts w:hint="eastAsia" w:ascii="仿宋" w:hAnsi="仿宋" w:eastAsia="仿宋" w:cs="仿宋"/>
          <w:sz w:val="28"/>
          <w:szCs w:val="28"/>
        </w:rPr>
        <w:t>检测器: 高灵敏度光电传感器</w:t>
      </w:r>
      <w:r>
        <w:rPr>
          <w:rFonts w:hint="eastAsia" w:ascii="仿宋" w:hAnsi="仿宋" w:eastAsia="仿宋" w:cs="仿宋"/>
          <w:sz w:val="28"/>
          <w:szCs w:val="28"/>
          <w:lang w:eastAsia="zh-CN"/>
        </w:rPr>
        <w:t>；</w:t>
      </w:r>
    </w:p>
    <w:p w14:paraId="00DC4F17">
      <w:pPr>
        <w:pStyle w:val="5"/>
        <w:numPr>
          <w:ilvl w:val="0"/>
          <w:numId w:val="4"/>
        </w:numPr>
        <w:adjustRightInd w:val="0"/>
        <w:snapToGrid w:val="0"/>
        <w:spacing w:after="0" w:line="360" w:lineRule="auto"/>
        <w:ind w:firstLineChars="0"/>
        <w:rPr>
          <w:rFonts w:hint="eastAsia" w:ascii="仿宋" w:hAnsi="仿宋" w:eastAsia="仿宋" w:cs="仿宋"/>
          <w:sz w:val="28"/>
          <w:szCs w:val="28"/>
        </w:rPr>
      </w:pPr>
      <w:r>
        <w:rPr>
          <w:rFonts w:hint="eastAsia" w:ascii="仿宋" w:hAnsi="仿宋" w:eastAsia="仿宋" w:cs="仿宋"/>
          <w:sz w:val="28"/>
          <w:szCs w:val="28"/>
        </w:rPr>
        <w:t>样本容量：96×0.2ml</w:t>
      </w:r>
      <w:r>
        <w:rPr>
          <w:rFonts w:hint="eastAsia" w:ascii="仿宋" w:hAnsi="仿宋" w:eastAsia="仿宋" w:cs="仿宋"/>
          <w:sz w:val="28"/>
          <w:szCs w:val="28"/>
          <w:lang w:eastAsia="zh-CN"/>
        </w:rPr>
        <w:t>；</w:t>
      </w:r>
    </w:p>
    <w:p w14:paraId="1ED2E75F">
      <w:pPr>
        <w:pStyle w:val="5"/>
        <w:numPr>
          <w:ilvl w:val="0"/>
          <w:numId w:val="4"/>
        </w:numPr>
        <w:adjustRightInd w:val="0"/>
        <w:snapToGrid w:val="0"/>
        <w:spacing w:after="0" w:line="360" w:lineRule="auto"/>
        <w:ind w:firstLineChars="0"/>
        <w:rPr>
          <w:rFonts w:hint="eastAsia" w:ascii="仿宋" w:hAnsi="仿宋" w:eastAsia="仿宋" w:cs="仿宋"/>
          <w:sz w:val="28"/>
          <w:szCs w:val="28"/>
        </w:rPr>
      </w:pPr>
      <w:r>
        <w:rPr>
          <w:rFonts w:hint="eastAsia" w:ascii="仿宋" w:hAnsi="仿宋" w:eastAsia="仿宋" w:cs="仿宋"/>
          <w:sz w:val="28"/>
          <w:szCs w:val="28"/>
        </w:rPr>
        <w:t>荧光检测波长: 4-6通道</w:t>
      </w:r>
      <w:r>
        <w:rPr>
          <w:rFonts w:hint="eastAsia" w:ascii="仿宋" w:hAnsi="仿宋" w:eastAsia="仿宋" w:cs="仿宋"/>
          <w:sz w:val="28"/>
          <w:szCs w:val="28"/>
          <w:lang w:eastAsia="zh-CN"/>
        </w:rPr>
        <w:t>；</w:t>
      </w:r>
    </w:p>
    <w:p w14:paraId="34BD5767">
      <w:pPr>
        <w:pStyle w:val="5"/>
        <w:numPr>
          <w:ilvl w:val="0"/>
          <w:numId w:val="4"/>
        </w:numPr>
        <w:adjustRightInd w:val="0"/>
        <w:snapToGrid w:val="0"/>
        <w:spacing w:after="0" w:line="360" w:lineRule="auto"/>
        <w:ind w:firstLineChars="0"/>
        <w:rPr>
          <w:rFonts w:hint="eastAsia" w:ascii="仿宋" w:hAnsi="仿宋" w:eastAsia="仿宋" w:cs="仿宋"/>
          <w:sz w:val="28"/>
          <w:szCs w:val="28"/>
        </w:rPr>
      </w:pPr>
      <w:r>
        <w:rPr>
          <w:rFonts w:hint="eastAsia" w:ascii="仿宋" w:hAnsi="仿宋" w:eastAsia="仿宋" w:cs="仿宋"/>
          <w:sz w:val="28"/>
          <w:szCs w:val="28"/>
        </w:rPr>
        <w:t>应用开放: 适用开放试剂，适配市场上</w:t>
      </w:r>
      <w:r>
        <w:rPr>
          <w:rFonts w:hint="eastAsia" w:ascii="仿宋" w:hAnsi="仿宋" w:eastAsia="仿宋" w:cs="仿宋"/>
          <w:sz w:val="28"/>
          <w:szCs w:val="28"/>
          <w:lang w:val="en-US" w:eastAsia="zh-CN"/>
        </w:rPr>
        <w:t>≥</w:t>
      </w:r>
      <w:r>
        <w:rPr>
          <w:rFonts w:hint="eastAsia" w:ascii="仿宋" w:hAnsi="仿宋" w:eastAsia="仿宋" w:cs="仿宋"/>
          <w:sz w:val="28"/>
          <w:szCs w:val="28"/>
        </w:rPr>
        <w:t>6家有证试剂盒，试剂说明书上注明适配本机型（备注：可提供不少于6家公司的不同项目的批准试剂说明书）</w:t>
      </w:r>
      <w:r>
        <w:rPr>
          <w:rFonts w:hint="eastAsia" w:ascii="仿宋" w:hAnsi="仿宋" w:eastAsia="仿宋" w:cs="仿宋"/>
          <w:sz w:val="28"/>
          <w:szCs w:val="28"/>
          <w:lang w:eastAsia="zh-CN"/>
        </w:rPr>
        <w:t>；</w:t>
      </w:r>
    </w:p>
    <w:p w14:paraId="4B51E935">
      <w:pPr>
        <w:pStyle w:val="5"/>
        <w:numPr>
          <w:ilvl w:val="0"/>
          <w:numId w:val="4"/>
        </w:numPr>
        <w:adjustRightInd w:val="0"/>
        <w:snapToGrid w:val="0"/>
        <w:spacing w:after="0" w:line="360" w:lineRule="auto"/>
        <w:ind w:firstLineChars="0"/>
        <w:rPr>
          <w:rFonts w:hint="eastAsia" w:ascii="仿宋" w:hAnsi="仿宋" w:eastAsia="仿宋" w:cs="仿宋"/>
          <w:sz w:val="28"/>
          <w:szCs w:val="28"/>
        </w:rPr>
      </w:pPr>
      <w:r>
        <w:rPr>
          <w:rFonts w:hint="eastAsia" w:ascii="仿宋" w:hAnsi="仿宋" w:eastAsia="仿宋" w:cs="仿宋"/>
          <w:sz w:val="28"/>
          <w:szCs w:val="28"/>
        </w:rPr>
        <w:t>软件应用模式: 定量/定性、多色熔解曲线、多管多项目分析、相对定量、等位基因、HRM（高分辨率熔解曲线）、SAT实时荧光等温扩增</w:t>
      </w:r>
      <w:r>
        <w:rPr>
          <w:rFonts w:hint="eastAsia" w:ascii="仿宋" w:hAnsi="仿宋" w:eastAsia="仿宋" w:cs="仿宋"/>
          <w:sz w:val="28"/>
          <w:szCs w:val="28"/>
          <w:lang w:eastAsia="zh-CN"/>
        </w:rPr>
        <w:t>；</w:t>
      </w:r>
    </w:p>
    <w:p w14:paraId="7BFB100B">
      <w:pPr>
        <w:pStyle w:val="5"/>
        <w:numPr>
          <w:ilvl w:val="0"/>
          <w:numId w:val="4"/>
        </w:numPr>
        <w:adjustRightInd w:val="0"/>
        <w:snapToGrid w:val="0"/>
        <w:spacing w:after="0" w:line="360" w:lineRule="auto"/>
        <w:ind w:firstLineChars="0"/>
        <w:rPr>
          <w:rFonts w:hint="eastAsia" w:ascii="仿宋" w:hAnsi="仿宋" w:eastAsia="仿宋" w:cs="仿宋"/>
          <w:sz w:val="28"/>
          <w:szCs w:val="28"/>
        </w:rPr>
      </w:pPr>
      <w:r>
        <w:rPr>
          <w:rFonts w:hint="eastAsia" w:ascii="仿宋" w:hAnsi="仿宋" w:eastAsia="仿宋" w:cs="仿宋"/>
          <w:sz w:val="28"/>
          <w:szCs w:val="28"/>
        </w:rPr>
        <w:t>检测灵敏度: 最小分辨为1个拷贝</w:t>
      </w:r>
      <w:r>
        <w:rPr>
          <w:rFonts w:hint="eastAsia" w:ascii="仿宋" w:hAnsi="仿宋" w:eastAsia="仿宋" w:cs="仿宋"/>
          <w:sz w:val="28"/>
          <w:szCs w:val="28"/>
          <w:lang w:eastAsia="zh-CN"/>
        </w:rPr>
        <w:t>；</w:t>
      </w:r>
    </w:p>
    <w:p w14:paraId="3B7F3C5E">
      <w:pPr>
        <w:pStyle w:val="5"/>
        <w:numPr>
          <w:ilvl w:val="0"/>
          <w:numId w:val="4"/>
        </w:numPr>
        <w:adjustRightInd w:val="0"/>
        <w:snapToGrid w:val="0"/>
        <w:spacing w:after="0" w:line="360" w:lineRule="auto"/>
        <w:ind w:firstLineChars="0"/>
        <w:rPr>
          <w:rFonts w:hint="eastAsia" w:ascii="仿宋" w:hAnsi="仿宋" w:eastAsia="仿宋" w:cs="仿宋"/>
          <w:sz w:val="28"/>
          <w:szCs w:val="28"/>
        </w:rPr>
      </w:pPr>
      <w:r>
        <w:rPr>
          <w:rFonts w:hint="eastAsia" w:ascii="仿宋" w:hAnsi="仿宋" w:eastAsia="仿宋" w:cs="仿宋"/>
          <w:sz w:val="28"/>
          <w:szCs w:val="28"/>
        </w:rPr>
        <w:t>升降温速率(MAX): 4℃/S，控温精度：±0.1℃，温度均匀性：±0.1℃</w:t>
      </w:r>
      <w:r>
        <w:rPr>
          <w:rFonts w:hint="eastAsia" w:ascii="仿宋" w:hAnsi="仿宋" w:eastAsia="仿宋" w:cs="仿宋"/>
          <w:sz w:val="28"/>
          <w:szCs w:val="28"/>
          <w:lang w:eastAsia="zh-CN"/>
        </w:rPr>
        <w:t>。</w:t>
      </w:r>
    </w:p>
    <w:p w14:paraId="58F3A897">
      <w:pPr>
        <w:pStyle w:val="5"/>
        <w:adjustRightInd w:val="0"/>
        <w:snapToGrid w:val="0"/>
        <w:spacing w:after="0" w:line="360" w:lineRule="auto"/>
        <w:ind w:firstLine="0" w:firstLineChars="0"/>
        <w:rPr>
          <w:rFonts w:hint="eastAsia" w:ascii="仿宋" w:hAnsi="仿宋" w:eastAsia="仿宋" w:cs="仿宋"/>
          <w:sz w:val="28"/>
          <w:szCs w:val="28"/>
          <w:lang w:eastAsia="zh-CN"/>
        </w:rPr>
      </w:pPr>
      <w:r>
        <w:rPr>
          <w:rFonts w:hint="eastAsia" w:ascii="仿宋" w:hAnsi="仿宋" w:eastAsia="仿宋" w:cs="仿宋"/>
          <w:sz w:val="28"/>
          <w:szCs w:val="28"/>
        </w:rPr>
        <w:t>3、质保要求：</w:t>
      </w:r>
      <w:r>
        <w:rPr>
          <w:rFonts w:hint="eastAsia" w:ascii="仿宋" w:hAnsi="仿宋" w:eastAsia="仿宋" w:cs="仿宋"/>
          <w:sz w:val="28"/>
          <w:szCs w:val="28"/>
          <w:lang w:val="en-US" w:eastAsia="zh-CN"/>
        </w:rPr>
        <w:t>≥</w:t>
      </w:r>
      <w:r>
        <w:rPr>
          <w:rFonts w:hint="eastAsia" w:ascii="仿宋" w:hAnsi="仿宋" w:eastAsia="仿宋" w:cs="仿宋"/>
          <w:sz w:val="28"/>
          <w:szCs w:val="28"/>
        </w:rPr>
        <w:t>3年，每年提供一次校准服务</w:t>
      </w:r>
      <w:r>
        <w:rPr>
          <w:rFonts w:hint="eastAsia" w:ascii="仿宋" w:hAnsi="仿宋" w:eastAsia="仿宋" w:cs="仿宋"/>
          <w:sz w:val="28"/>
          <w:szCs w:val="28"/>
          <w:lang w:eastAsia="zh-CN"/>
        </w:rPr>
        <w:t>。</w:t>
      </w:r>
    </w:p>
    <w:p w14:paraId="3332ADCA">
      <w:pPr>
        <w:pStyle w:val="5"/>
        <w:numPr>
          <w:ilvl w:val="0"/>
          <w:numId w:val="0"/>
        </w:numPr>
        <w:adjustRightInd w:val="0"/>
        <w:snapToGrid w:val="0"/>
        <w:spacing w:after="0" w:line="360" w:lineRule="auto"/>
        <w:ind w:leftChars="0"/>
        <w:rPr>
          <w:rFonts w:hint="eastAsia" w:ascii="仿宋" w:hAnsi="仿宋" w:eastAsia="仿宋" w:cs="仿宋"/>
          <w:sz w:val="28"/>
          <w:szCs w:val="28"/>
        </w:rPr>
      </w:pPr>
      <w:r>
        <w:rPr>
          <w:rFonts w:hint="eastAsia" w:ascii="仿宋" w:hAnsi="仿宋" w:eastAsia="仿宋" w:cs="仿宋"/>
          <w:sz w:val="28"/>
          <w:szCs w:val="28"/>
        </w:rPr>
        <w:t>4、其他要求：</w:t>
      </w:r>
      <w:r>
        <w:rPr>
          <w:rFonts w:hint="eastAsia" w:ascii="仿宋" w:hAnsi="仿宋" w:eastAsia="仿宋" w:cs="仿宋"/>
          <w:sz w:val="28"/>
          <w:szCs w:val="28"/>
          <w:lang w:val="en-US" w:eastAsia="zh-CN"/>
        </w:rPr>
        <w:t>适配病理科现有的检测试剂盒。</w:t>
      </w:r>
    </w:p>
    <w:p w14:paraId="6B82EFD5">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32"/>
          <w:szCs w:val="32"/>
          <w:lang w:val="en-US" w:eastAsia="zh-CN" w:bidi="ar-SA"/>
        </w:rPr>
      </w:pPr>
    </w:p>
    <w:p w14:paraId="0275551E">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color w:val="000000"/>
          <w:kern w:val="0"/>
          <w:sz w:val="32"/>
          <w:szCs w:val="32"/>
          <w:lang w:val="en-US" w:eastAsia="zh-CN" w:bidi="ar-SA"/>
        </w:rPr>
        <w:t>项目6：</w:t>
      </w:r>
    </w:p>
    <w:p w14:paraId="392C12A2">
      <w:pPr>
        <w:spacing w:after="0" w:line="440" w:lineRule="exact"/>
        <w:jc w:val="center"/>
        <w:rPr>
          <w:rFonts w:hint="eastAsia" w:ascii="仿宋" w:hAnsi="仿宋" w:eastAsia="仿宋" w:cs="仿宋"/>
          <w:b/>
          <w:sz w:val="32"/>
          <w:szCs w:val="32"/>
        </w:rPr>
      </w:pPr>
      <w:r>
        <w:rPr>
          <w:rFonts w:hint="eastAsia" w:ascii="仿宋" w:hAnsi="仿宋" w:eastAsia="仿宋" w:cs="仿宋"/>
          <w:b/>
          <w:color w:val="000000"/>
          <w:sz w:val="36"/>
          <w:szCs w:val="36"/>
          <w:u w:val="none"/>
        </w:rPr>
        <w:t xml:space="preserve"> </w:t>
      </w:r>
      <w:r>
        <w:rPr>
          <w:rFonts w:hint="eastAsia" w:ascii="仿宋" w:hAnsi="仿宋" w:eastAsia="仿宋" w:cs="仿宋"/>
          <w:b/>
          <w:color w:val="000000"/>
          <w:sz w:val="32"/>
          <w:szCs w:val="32"/>
          <w:u w:val="none"/>
          <w:lang w:val="en-US" w:eastAsia="zh-CN"/>
        </w:rPr>
        <w:t>病理科</w:t>
      </w:r>
      <w:r>
        <w:rPr>
          <w:rFonts w:hint="eastAsia" w:ascii="仿宋" w:hAnsi="仿宋" w:eastAsia="仿宋" w:cs="仿宋"/>
          <w:b/>
          <w:color w:val="000000"/>
          <w:sz w:val="32"/>
          <w:szCs w:val="32"/>
          <w:u w:val="none"/>
        </w:rPr>
        <w:t>全自动免疫组化仪</w:t>
      </w:r>
      <w:r>
        <w:rPr>
          <w:rFonts w:hint="eastAsia" w:ascii="仿宋" w:hAnsi="仿宋" w:eastAsia="仿宋" w:cs="仿宋"/>
          <w:b/>
          <w:sz w:val="32"/>
          <w:szCs w:val="32"/>
        </w:rPr>
        <w:t>项目采购需求</w:t>
      </w:r>
    </w:p>
    <w:p w14:paraId="6AD3AA50">
      <w:pPr>
        <w:snapToGrid w:val="0"/>
        <w:spacing w:after="0" w:line="440" w:lineRule="exact"/>
        <w:ind w:firstLine="560" w:firstLineChars="200"/>
        <w:rPr>
          <w:rFonts w:hint="eastAsia" w:ascii="仿宋" w:hAnsi="仿宋" w:eastAsia="仿宋" w:cs="仿宋"/>
          <w:sz w:val="28"/>
          <w:szCs w:val="28"/>
        </w:rPr>
      </w:pPr>
    </w:p>
    <w:p w14:paraId="5539BA9E">
      <w:pPr>
        <w:adjustRightInd w:val="0"/>
        <w:snapToGrid w:val="0"/>
        <w:spacing w:after="0" w:line="384" w:lineRule="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22B92D78">
      <w:pPr>
        <w:adjustRightInd w:val="0"/>
        <w:snapToGrid w:val="0"/>
        <w:spacing w:after="0" w:line="384" w:lineRule="auto"/>
        <w:rPr>
          <w:rFonts w:hint="eastAsia" w:ascii="仿宋" w:hAnsi="仿宋" w:eastAsia="仿宋" w:cs="仿宋"/>
          <w:sz w:val="28"/>
          <w:szCs w:val="28"/>
        </w:rPr>
      </w:pPr>
      <w:r>
        <w:rPr>
          <w:rFonts w:hint="eastAsia" w:ascii="仿宋" w:hAnsi="仿宋" w:eastAsia="仿宋" w:cs="仿宋"/>
          <w:sz w:val="28"/>
          <w:szCs w:val="28"/>
        </w:rPr>
        <w:t>1、用途：在组织切片上，自动、精准地检测和定位特定蛋白质（即“抗原”）的存在与分布，从而为疾病的诊断、分型、预后判断和治疗方案选择提供至关重要的依据。</w:t>
      </w:r>
    </w:p>
    <w:p w14:paraId="351227EA">
      <w:pPr>
        <w:adjustRightInd w:val="0"/>
        <w:snapToGrid w:val="0"/>
        <w:spacing w:after="0" w:line="384" w:lineRule="auto"/>
        <w:rPr>
          <w:rFonts w:hint="eastAsia" w:ascii="仿宋" w:hAnsi="仿宋" w:eastAsia="仿宋" w:cs="仿宋"/>
          <w:sz w:val="28"/>
          <w:szCs w:val="28"/>
        </w:rPr>
      </w:pPr>
      <w:r>
        <w:rPr>
          <w:rFonts w:hint="eastAsia" w:ascii="仿宋" w:hAnsi="仿宋" w:eastAsia="仿宋" w:cs="仿宋"/>
          <w:sz w:val="28"/>
          <w:szCs w:val="28"/>
        </w:rPr>
        <w:t>2、数量：2台</w:t>
      </w:r>
    </w:p>
    <w:p w14:paraId="14921540">
      <w:pPr>
        <w:adjustRightInd w:val="0"/>
        <w:snapToGrid w:val="0"/>
        <w:spacing w:after="0" w:line="384" w:lineRule="auto"/>
        <w:rPr>
          <w:rFonts w:hint="eastAsia" w:ascii="仿宋" w:hAnsi="仿宋" w:eastAsia="仿宋" w:cs="仿宋"/>
          <w:b/>
          <w:bCs/>
          <w:sz w:val="28"/>
          <w:szCs w:val="28"/>
        </w:rPr>
      </w:pPr>
      <w:r>
        <w:rPr>
          <w:rFonts w:hint="eastAsia" w:ascii="仿宋" w:hAnsi="仿宋" w:eastAsia="仿宋" w:cs="仿宋"/>
          <w:b/>
          <w:bCs/>
          <w:sz w:val="28"/>
          <w:szCs w:val="28"/>
        </w:rPr>
        <w:t>二、产品要求：</w:t>
      </w:r>
    </w:p>
    <w:p w14:paraId="1D39AA69">
      <w:pPr>
        <w:pStyle w:val="4"/>
        <w:adjustRightInd w:val="0"/>
        <w:snapToGrid w:val="0"/>
        <w:spacing w:after="0" w:line="384" w:lineRule="auto"/>
        <w:ind w:firstLine="0" w:firstLineChars="0"/>
        <w:rPr>
          <w:rFonts w:hint="eastAsia" w:ascii="仿宋" w:hAnsi="仿宋" w:eastAsia="仿宋" w:cs="仿宋"/>
          <w:sz w:val="28"/>
          <w:szCs w:val="28"/>
        </w:rPr>
      </w:pPr>
      <w:r>
        <w:rPr>
          <w:rFonts w:hint="eastAsia" w:ascii="仿宋" w:hAnsi="仿宋" w:eastAsia="仿宋" w:cs="仿宋"/>
          <w:sz w:val="28"/>
          <w:szCs w:val="28"/>
        </w:rPr>
        <w:t>1、配置要求：</w:t>
      </w:r>
    </w:p>
    <w:p w14:paraId="4345F88A">
      <w:pPr>
        <w:pStyle w:val="4"/>
        <w:numPr>
          <w:ilvl w:val="0"/>
          <w:numId w:val="5"/>
        </w:numPr>
        <w:adjustRightInd w:val="0"/>
        <w:snapToGrid w:val="0"/>
        <w:spacing w:after="0" w:line="384" w:lineRule="auto"/>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配置2套染色模块系统</w:t>
      </w:r>
      <w:r>
        <w:rPr>
          <w:rFonts w:hint="eastAsia" w:ascii="仿宋" w:hAnsi="仿宋" w:eastAsia="仿宋" w:cs="仿宋"/>
          <w:sz w:val="28"/>
          <w:szCs w:val="28"/>
          <w:lang w:eastAsia="zh-CN"/>
        </w:rPr>
        <w:t>；</w:t>
      </w:r>
    </w:p>
    <w:p w14:paraId="5FF173B9">
      <w:pPr>
        <w:pStyle w:val="4"/>
        <w:numPr>
          <w:ilvl w:val="0"/>
          <w:numId w:val="5"/>
        </w:numPr>
        <w:tabs>
          <w:tab w:val="left" w:pos="420"/>
        </w:tabs>
        <w:adjustRightInd w:val="0"/>
        <w:snapToGrid w:val="0"/>
        <w:spacing w:after="0" w:line="384" w:lineRule="auto"/>
        <w:ind w:firstLineChars="0"/>
        <w:rPr>
          <w:rFonts w:hint="eastAsia" w:ascii="仿宋" w:hAnsi="仿宋" w:eastAsia="仿宋" w:cs="仿宋"/>
          <w:sz w:val="28"/>
          <w:szCs w:val="28"/>
        </w:rPr>
      </w:pPr>
      <w:r>
        <w:rPr>
          <w:rFonts w:hint="eastAsia" w:ascii="仿宋" w:hAnsi="仿宋" w:eastAsia="仿宋" w:cs="仿宋"/>
          <w:sz w:val="28"/>
          <w:szCs w:val="28"/>
          <w:lang w:val="en-US" w:eastAsia="zh-CN"/>
        </w:rPr>
        <w:t>专用工作站1</w:t>
      </w:r>
      <w:r>
        <w:rPr>
          <w:rFonts w:hint="eastAsia" w:ascii="仿宋" w:hAnsi="仿宋" w:eastAsia="仿宋" w:cs="仿宋"/>
          <w:sz w:val="28"/>
          <w:szCs w:val="28"/>
        </w:rPr>
        <w:t>套</w:t>
      </w:r>
      <w:r>
        <w:rPr>
          <w:rFonts w:hint="eastAsia" w:ascii="仿宋" w:hAnsi="仿宋" w:eastAsia="仿宋" w:cs="仿宋"/>
          <w:sz w:val="28"/>
          <w:szCs w:val="28"/>
          <w:lang w:eastAsia="zh-CN"/>
        </w:rPr>
        <w:t>。</w:t>
      </w:r>
    </w:p>
    <w:p w14:paraId="4CF15925">
      <w:pPr>
        <w:pStyle w:val="4"/>
        <w:adjustRightInd w:val="0"/>
        <w:snapToGrid w:val="0"/>
        <w:spacing w:after="0" w:line="384" w:lineRule="auto"/>
        <w:ind w:firstLine="0" w:firstLineChars="0"/>
        <w:rPr>
          <w:rFonts w:hint="eastAsia" w:ascii="仿宋" w:hAnsi="仿宋" w:eastAsia="仿宋" w:cs="仿宋"/>
          <w:sz w:val="28"/>
          <w:szCs w:val="28"/>
        </w:rPr>
      </w:pPr>
      <w:r>
        <w:rPr>
          <w:rFonts w:hint="eastAsia" w:ascii="仿宋" w:hAnsi="仿宋" w:eastAsia="仿宋" w:cs="仿宋"/>
          <w:sz w:val="28"/>
          <w:szCs w:val="28"/>
        </w:rPr>
        <w:t>2、主要技术指标：</w:t>
      </w:r>
    </w:p>
    <w:p w14:paraId="61F5D195">
      <w:pPr>
        <w:pStyle w:val="4"/>
        <w:numPr>
          <w:ilvl w:val="0"/>
          <w:numId w:val="6"/>
        </w:numPr>
        <w:tabs>
          <w:tab w:val="left" w:pos="420"/>
        </w:tabs>
        <w:adjustRightInd w:val="0"/>
        <w:snapToGrid w:val="0"/>
        <w:spacing w:after="0" w:line="384" w:lineRule="auto"/>
        <w:ind w:firstLineChars="0"/>
        <w:rPr>
          <w:rFonts w:hint="eastAsia" w:ascii="仿宋" w:hAnsi="仿宋" w:eastAsia="仿宋" w:cs="仿宋"/>
          <w:spacing w:val="-6"/>
          <w:sz w:val="28"/>
          <w:szCs w:val="28"/>
        </w:rPr>
      </w:pPr>
      <w:r>
        <w:rPr>
          <w:rFonts w:hint="eastAsia" w:ascii="仿宋" w:hAnsi="仿宋" w:eastAsia="仿宋" w:cs="仿宋"/>
          <w:spacing w:val="-6"/>
          <w:sz w:val="28"/>
          <w:szCs w:val="28"/>
        </w:rPr>
        <w:t>具有免疫组化单染、双染、原位杂交、mIHC多种染色功能；可同时做原位杂交与IHC，可处理石蜡组织、细胞蜡块、细胞涂片等标本；</w:t>
      </w:r>
    </w:p>
    <w:p w14:paraId="2E76259C">
      <w:pPr>
        <w:pStyle w:val="4"/>
        <w:numPr>
          <w:ilvl w:val="0"/>
          <w:numId w:val="6"/>
        </w:numPr>
        <w:tabs>
          <w:tab w:val="left" w:pos="420"/>
        </w:tabs>
        <w:adjustRightInd w:val="0"/>
        <w:snapToGrid w:val="0"/>
        <w:spacing w:after="0" w:line="384" w:lineRule="auto"/>
        <w:ind w:firstLineChars="0"/>
        <w:rPr>
          <w:rFonts w:hint="eastAsia" w:ascii="仿宋" w:hAnsi="仿宋" w:eastAsia="仿宋" w:cs="仿宋"/>
          <w:sz w:val="28"/>
          <w:szCs w:val="28"/>
        </w:rPr>
      </w:pPr>
      <w:r>
        <w:rPr>
          <w:rFonts w:hint="eastAsia" w:ascii="仿宋" w:hAnsi="仿宋" w:eastAsia="仿宋" w:cs="仿宋"/>
          <w:sz w:val="28"/>
          <w:szCs w:val="28"/>
        </w:rPr>
        <w:t>全自动；中文操作界面；要求从烤片、脱蜡、抗原修复、阻断、标记、显色、复染所有步骤，无需人工干预；</w:t>
      </w:r>
    </w:p>
    <w:p w14:paraId="058D9B68">
      <w:pPr>
        <w:pStyle w:val="4"/>
        <w:numPr>
          <w:ilvl w:val="0"/>
          <w:numId w:val="6"/>
        </w:numPr>
        <w:tabs>
          <w:tab w:val="left" w:pos="420"/>
        </w:tabs>
        <w:adjustRightInd w:val="0"/>
        <w:snapToGrid w:val="0"/>
        <w:spacing w:after="0" w:line="384" w:lineRule="auto"/>
        <w:ind w:firstLineChars="0"/>
        <w:rPr>
          <w:rFonts w:hint="eastAsia" w:ascii="仿宋" w:hAnsi="仿宋" w:eastAsia="仿宋" w:cs="仿宋"/>
          <w:spacing w:val="-10"/>
          <w:sz w:val="28"/>
          <w:szCs w:val="28"/>
        </w:rPr>
      </w:pPr>
      <w:r>
        <w:rPr>
          <w:rFonts w:hint="eastAsia" w:ascii="仿宋" w:hAnsi="仿宋" w:eastAsia="仿宋" w:cs="仿宋"/>
          <w:spacing w:val="-10"/>
          <w:sz w:val="28"/>
          <w:szCs w:val="28"/>
        </w:rPr>
        <w:t>自动化连续上载：独立的玻片架≥5个，每架容纳玻片数≥10张，配备机械臂≥2套可连续上载；玻片容量：≥50张，试剂位≥72；</w:t>
      </w:r>
    </w:p>
    <w:p w14:paraId="248F8E12">
      <w:pPr>
        <w:pStyle w:val="4"/>
        <w:numPr>
          <w:ilvl w:val="0"/>
          <w:numId w:val="6"/>
        </w:numPr>
        <w:tabs>
          <w:tab w:val="left" w:pos="420"/>
        </w:tabs>
        <w:adjustRightInd w:val="0"/>
        <w:snapToGrid w:val="0"/>
        <w:spacing w:after="0" w:line="384" w:lineRule="auto"/>
        <w:ind w:firstLineChars="0"/>
        <w:rPr>
          <w:rFonts w:hint="eastAsia" w:ascii="仿宋" w:hAnsi="仿宋" w:eastAsia="仿宋" w:cs="仿宋"/>
          <w:sz w:val="28"/>
          <w:szCs w:val="28"/>
        </w:rPr>
      </w:pPr>
      <w:r>
        <w:rPr>
          <w:rFonts w:hint="eastAsia" w:ascii="仿宋" w:hAnsi="仿宋" w:eastAsia="仿宋" w:cs="仿宋"/>
          <w:sz w:val="28"/>
          <w:szCs w:val="28"/>
        </w:rPr>
        <w:t>抗原修复方式可选择热修复（高pH、低pH）、酶修复，不修复</w:t>
      </w:r>
      <w:r>
        <w:rPr>
          <w:rFonts w:hint="eastAsia" w:ascii="仿宋" w:hAnsi="仿宋" w:eastAsia="仿宋" w:cs="仿宋"/>
          <w:sz w:val="28"/>
          <w:szCs w:val="28"/>
          <w:lang w:eastAsia="zh-CN"/>
        </w:rPr>
        <w:t>等</w:t>
      </w:r>
      <w:r>
        <w:rPr>
          <w:rFonts w:hint="eastAsia" w:ascii="仿宋" w:hAnsi="仿宋" w:eastAsia="仿宋" w:cs="仿宋"/>
          <w:sz w:val="28"/>
          <w:szCs w:val="28"/>
        </w:rPr>
        <w:t>，且每张玻片可以使用独立的修复条件，能够个性化设定酸修复、碱修复、酶修复、不修复等条件方式</w:t>
      </w:r>
      <w:bookmarkStart w:id="0" w:name="_Hlk183432290"/>
      <w:r>
        <w:rPr>
          <w:rFonts w:hint="eastAsia" w:ascii="仿宋" w:hAnsi="仿宋" w:eastAsia="仿宋" w:cs="仿宋"/>
          <w:sz w:val="28"/>
          <w:szCs w:val="28"/>
        </w:rPr>
        <w:t>；</w:t>
      </w:r>
    </w:p>
    <w:bookmarkEnd w:id="0"/>
    <w:p w14:paraId="11CA2951">
      <w:pPr>
        <w:pStyle w:val="4"/>
        <w:numPr>
          <w:ilvl w:val="0"/>
          <w:numId w:val="6"/>
        </w:numPr>
        <w:tabs>
          <w:tab w:val="left" w:pos="420"/>
        </w:tabs>
        <w:adjustRightInd w:val="0"/>
        <w:snapToGrid w:val="0"/>
        <w:spacing w:after="0" w:line="384" w:lineRule="auto"/>
        <w:ind w:firstLineChars="0"/>
        <w:rPr>
          <w:rFonts w:hint="eastAsia" w:ascii="仿宋" w:hAnsi="仿宋" w:eastAsia="仿宋" w:cs="仿宋"/>
          <w:sz w:val="28"/>
          <w:szCs w:val="28"/>
        </w:rPr>
      </w:pPr>
      <w:r>
        <w:rPr>
          <w:rFonts w:hint="eastAsia" w:ascii="仿宋" w:hAnsi="仿宋" w:eastAsia="仿宋" w:cs="仿宋"/>
          <w:sz w:val="28"/>
          <w:szCs w:val="28"/>
        </w:rPr>
        <w:t>每个染色模块必须具备独立的两套互不干扰大容量试剂瓶盛装辅助试剂</w:t>
      </w:r>
      <w:r>
        <w:rPr>
          <w:rFonts w:hint="eastAsia" w:ascii="仿宋" w:hAnsi="仿宋" w:eastAsia="仿宋" w:cs="仿宋"/>
          <w:sz w:val="28"/>
          <w:szCs w:val="28"/>
          <w:lang w:eastAsia="zh-CN"/>
        </w:rPr>
        <w:t>；</w:t>
      </w:r>
      <w:r>
        <w:rPr>
          <w:rFonts w:hint="eastAsia" w:ascii="仿宋" w:hAnsi="仿宋" w:eastAsia="仿宋" w:cs="仿宋"/>
          <w:sz w:val="28"/>
          <w:szCs w:val="28"/>
        </w:rPr>
        <w:t>当其中一套系统出现故障时，另一套系统仍可正常工作</w:t>
      </w:r>
      <w:r>
        <w:rPr>
          <w:rFonts w:hint="eastAsia" w:ascii="仿宋" w:hAnsi="仿宋" w:eastAsia="仿宋" w:cs="仿宋"/>
          <w:sz w:val="28"/>
          <w:szCs w:val="28"/>
          <w:lang w:eastAsia="zh-CN"/>
        </w:rPr>
        <w:t>。</w:t>
      </w:r>
    </w:p>
    <w:p w14:paraId="51D43F1C">
      <w:pPr>
        <w:pStyle w:val="4"/>
        <w:numPr>
          <w:ilvl w:val="0"/>
          <w:numId w:val="0"/>
        </w:numPr>
        <w:adjustRightInd w:val="0"/>
        <w:snapToGrid w:val="0"/>
        <w:spacing w:after="0" w:line="384"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质保要求：终身质保</w:t>
      </w:r>
    </w:p>
    <w:p w14:paraId="611615B9">
      <w:pPr>
        <w:pStyle w:val="4"/>
        <w:numPr>
          <w:ilvl w:val="0"/>
          <w:numId w:val="0"/>
        </w:numPr>
        <w:adjustRightInd w:val="0"/>
        <w:snapToGrid w:val="0"/>
        <w:spacing w:after="0" w:line="384" w:lineRule="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其他要求：</w:t>
      </w:r>
    </w:p>
    <w:p w14:paraId="5574935A">
      <w:pPr>
        <w:pStyle w:val="4"/>
        <w:numPr>
          <w:ilvl w:val="0"/>
          <w:numId w:val="7"/>
        </w:numPr>
        <w:adjustRightInd w:val="0"/>
        <w:snapToGrid w:val="0"/>
        <w:spacing w:after="0" w:line="384" w:lineRule="auto"/>
        <w:ind w:left="425" w:leftChars="0" w:hanging="425" w:firstLineChars="0"/>
        <w:rPr>
          <w:rFonts w:hint="eastAsia" w:ascii="仿宋" w:hAnsi="仿宋" w:eastAsia="仿宋" w:cs="仿宋"/>
          <w:sz w:val="28"/>
          <w:szCs w:val="28"/>
        </w:rPr>
      </w:pPr>
      <w:r>
        <w:rPr>
          <w:rFonts w:hint="eastAsia" w:ascii="仿宋" w:hAnsi="仿宋" w:eastAsia="仿宋" w:cs="仿宋"/>
          <w:sz w:val="28"/>
          <w:szCs w:val="28"/>
          <w:lang w:val="en-US" w:eastAsia="zh-CN"/>
        </w:rPr>
        <w:t>需</w:t>
      </w:r>
      <w:r>
        <w:rPr>
          <w:rFonts w:hint="eastAsia" w:ascii="仿宋" w:hAnsi="仿宋" w:eastAsia="仿宋" w:cs="仿宋"/>
          <w:sz w:val="28"/>
          <w:szCs w:val="28"/>
        </w:rPr>
        <w:t>配套试剂耗材</w:t>
      </w:r>
      <w:r>
        <w:rPr>
          <w:rFonts w:hint="eastAsia" w:ascii="仿宋" w:hAnsi="仿宋" w:eastAsia="仿宋" w:cs="仿宋"/>
          <w:sz w:val="28"/>
          <w:szCs w:val="28"/>
          <w:lang w:eastAsia="zh-CN"/>
        </w:rPr>
        <w:t>，</w:t>
      </w:r>
      <w:r>
        <w:rPr>
          <w:rFonts w:hint="eastAsia" w:ascii="仿宋" w:hAnsi="仿宋" w:eastAsia="仿宋" w:cs="仿宋"/>
          <w:sz w:val="28"/>
          <w:szCs w:val="28"/>
        </w:rPr>
        <w:t>提供≥6种荧光素的试剂，可备自由搭配，且每种荧光素皆符合NMPA要求的注册证或备案凭证</w:t>
      </w:r>
      <w:r>
        <w:rPr>
          <w:rFonts w:hint="eastAsia" w:ascii="仿宋" w:hAnsi="仿宋" w:eastAsia="仿宋" w:cs="仿宋"/>
          <w:sz w:val="28"/>
          <w:szCs w:val="28"/>
          <w:lang w:eastAsia="zh-CN"/>
        </w:rPr>
        <w:t>；</w:t>
      </w:r>
    </w:p>
    <w:p w14:paraId="646D372A">
      <w:pPr>
        <w:pStyle w:val="4"/>
        <w:numPr>
          <w:ilvl w:val="0"/>
          <w:numId w:val="7"/>
        </w:numPr>
        <w:adjustRightInd w:val="0"/>
        <w:snapToGrid w:val="0"/>
        <w:spacing w:after="0" w:line="384" w:lineRule="auto"/>
        <w:ind w:left="425" w:leftChars="0" w:hanging="425" w:firstLineChars="0"/>
        <w:rPr>
          <w:rFonts w:hint="eastAsia" w:ascii="仿宋" w:hAnsi="仿宋" w:eastAsia="仿宋" w:cs="仿宋"/>
          <w:sz w:val="28"/>
          <w:szCs w:val="28"/>
        </w:rPr>
      </w:pPr>
      <w:r>
        <w:rPr>
          <w:rFonts w:hint="eastAsia" w:ascii="仿宋" w:hAnsi="仿宋" w:eastAsia="仿宋" w:cs="仿宋"/>
          <w:sz w:val="28"/>
          <w:szCs w:val="28"/>
        </w:rPr>
        <w:t>全自动免疫组化仪及配备的色带玻片打号机需与科室朗珈系统互联互通</w:t>
      </w:r>
      <w:r>
        <w:rPr>
          <w:rFonts w:hint="eastAsia" w:ascii="仿宋" w:hAnsi="仿宋" w:eastAsia="仿宋" w:cs="仿宋"/>
          <w:color w:val="000000"/>
          <w:sz w:val="28"/>
          <w:szCs w:val="28"/>
        </w:rPr>
        <w:t>（由厂家负责与朗珈系统连接）</w:t>
      </w:r>
      <w:r>
        <w:rPr>
          <w:rFonts w:hint="eastAsia" w:ascii="仿宋" w:hAnsi="仿宋" w:eastAsia="仿宋" w:cs="仿宋"/>
          <w:color w:val="000000"/>
          <w:sz w:val="28"/>
          <w:szCs w:val="28"/>
          <w:lang w:eastAsia="zh-CN"/>
        </w:rPr>
        <w:t>；</w:t>
      </w:r>
    </w:p>
    <w:p w14:paraId="65380425">
      <w:pPr>
        <w:pStyle w:val="4"/>
        <w:numPr>
          <w:ilvl w:val="0"/>
          <w:numId w:val="7"/>
        </w:numPr>
        <w:adjustRightInd w:val="0"/>
        <w:snapToGrid w:val="0"/>
        <w:spacing w:after="0" w:line="384" w:lineRule="auto"/>
        <w:ind w:left="425" w:leftChars="0" w:hanging="425" w:firstLineChars="0"/>
        <w:rPr>
          <w:rFonts w:hint="eastAsia" w:ascii="仿宋" w:hAnsi="仿宋" w:eastAsia="仿宋" w:cs="仿宋"/>
          <w:sz w:val="28"/>
          <w:szCs w:val="28"/>
        </w:rPr>
      </w:pPr>
      <w:r>
        <w:rPr>
          <w:rFonts w:hint="eastAsia" w:ascii="仿宋" w:hAnsi="仿宋" w:eastAsia="仿宋" w:cs="仿宋"/>
          <w:sz w:val="28"/>
          <w:szCs w:val="28"/>
          <w:lang w:val="en-US" w:eastAsia="zh-CN"/>
        </w:rPr>
        <w:t>配备</w:t>
      </w:r>
      <w:r>
        <w:rPr>
          <w:rFonts w:hint="eastAsia" w:ascii="仿宋" w:hAnsi="仿宋" w:eastAsia="仿宋" w:cs="仿宋"/>
          <w:sz w:val="28"/>
          <w:szCs w:val="28"/>
        </w:rPr>
        <w:t>色带玻片打号机1台</w:t>
      </w:r>
      <w:r>
        <w:rPr>
          <w:rFonts w:hint="eastAsia" w:ascii="仿宋" w:hAnsi="仿宋" w:eastAsia="仿宋" w:cs="仿宋"/>
          <w:sz w:val="28"/>
          <w:szCs w:val="28"/>
          <w:lang w:eastAsia="zh-CN"/>
        </w:rPr>
        <w:t>；</w:t>
      </w:r>
    </w:p>
    <w:p w14:paraId="00735CF3">
      <w:pPr>
        <w:pStyle w:val="4"/>
        <w:numPr>
          <w:ilvl w:val="0"/>
          <w:numId w:val="7"/>
        </w:numPr>
        <w:adjustRightInd w:val="0"/>
        <w:snapToGrid w:val="0"/>
        <w:spacing w:after="0" w:line="384" w:lineRule="auto"/>
        <w:ind w:left="425" w:leftChars="0" w:hanging="425" w:firstLineChars="0"/>
        <w:rPr>
          <w:rFonts w:hint="eastAsia" w:ascii="仿宋" w:hAnsi="仿宋" w:eastAsia="仿宋" w:cs="仿宋"/>
          <w:sz w:val="28"/>
          <w:szCs w:val="28"/>
        </w:rPr>
      </w:pPr>
      <w:r>
        <w:rPr>
          <w:rFonts w:hint="eastAsia" w:ascii="仿宋" w:hAnsi="仿宋" w:eastAsia="仿宋" w:cs="仿宋"/>
          <w:sz w:val="28"/>
          <w:szCs w:val="28"/>
        </w:rPr>
        <w:t>每年</w:t>
      </w:r>
      <w:r>
        <w:rPr>
          <w:rFonts w:hint="eastAsia" w:ascii="仿宋" w:hAnsi="仿宋" w:eastAsia="仿宋" w:cs="仿宋"/>
          <w:sz w:val="28"/>
          <w:szCs w:val="28"/>
          <w:lang w:val="en-US" w:eastAsia="zh-CN"/>
        </w:rPr>
        <w:t>提供</w:t>
      </w:r>
      <w:r>
        <w:rPr>
          <w:rFonts w:hint="eastAsia" w:ascii="仿宋" w:hAnsi="仿宋" w:eastAsia="仿宋" w:cs="仿宋"/>
          <w:sz w:val="28"/>
          <w:szCs w:val="28"/>
        </w:rPr>
        <w:t>1次</w:t>
      </w:r>
      <w:r>
        <w:rPr>
          <w:rFonts w:hint="eastAsia" w:ascii="仿宋" w:hAnsi="仿宋" w:eastAsia="仿宋" w:cs="仿宋"/>
          <w:sz w:val="28"/>
          <w:szCs w:val="28"/>
          <w:lang w:val="en-US" w:eastAsia="zh-CN"/>
        </w:rPr>
        <w:t>免费</w:t>
      </w:r>
      <w:r>
        <w:rPr>
          <w:rFonts w:hint="eastAsia" w:ascii="仿宋" w:hAnsi="仿宋" w:eastAsia="仿宋" w:cs="仿宋"/>
          <w:sz w:val="28"/>
          <w:szCs w:val="28"/>
        </w:rPr>
        <w:t>仪器校准</w:t>
      </w:r>
      <w:r>
        <w:rPr>
          <w:rFonts w:hint="eastAsia" w:ascii="仿宋" w:hAnsi="仿宋" w:eastAsia="仿宋" w:cs="仿宋"/>
          <w:sz w:val="28"/>
          <w:szCs w:val="28"/>
          <w:lang w:eastAsia="zh-CN"/>
        </w:rPr>
        <w:t>。</w:t>
      </w:r>
    </w:p>
    <w:p w14:paraId="26AEE07F">
      <w:pPr>
        <w:pStyle w:val="4"/>
        <w:keepNext w:val="0"/>
        <w:keepLines w:val="0"/>
        <w:pageBreakBefore w:val="0"/>
        <w:numPr>
          <w:ilvl w:val="0"/>
          <w:numId w:val="0"/>
        </w:numPr>
        <w:kinsoku/>
        <w:wordWrap/>
        <w:overflowPunct/>
        <w:topLinePunct w:val="0"/>
        <w:autoSpaceDE/>
        <w:autoSpaceDN/>
        <w:bidi w:val="0"/>
        <w:adjustRightInd/>
        <w:snapToGrid/>
        <w:spacing w:after="0" w:line="360" w:lineRule="auto"/>
        <w:ind w:leftChars="0"/>
        <w:textAlignment w:val="auto"/>
        <w:rPr>
          <w:rFonts w:hint="default" w:ascii="仿宋" w:hAnsi="仿宋" w:eastAsia="仿宋" w:cs="仿宋"/>
          <w:sz w:val="28"/>
          <w:szCs w:val="28"/>
          <w:lang w:val="en-US" w:eastAsia="zh-CN"/>
        </w:rPr>
      </w:pPr>
    </w:p>
    <w:p w14:paraId="5FDD6FC9">
      <w:bookmarkStart w:id="1" w:name="_GoBack"/>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9D4F0"/>
    <w:multiLevelType w:val="singleLevel"/>
    <w:tmpl w:val="CE39D4F0"/>
    <w:lvl w:ilvl="0" w:tentative="0">
      <w:start w:val="1"/>
      <w:numFmt w:val="decimal"/>
      <w:lvlText w:val="(%1)"/>
      <w:lvlJc w:val="left"/>
      <w:pPr>
        <w:ind w:left="425" w:hanging="425"/>
      </w:pPr>
      <w:rPr>
        <w:rFonts w:hint="default"/>
      </w:rPr>
    </w:lvl>
  </w:abstractNum>
  <w:abstractNum w:abstractNumId="1">
    <w:nsid w:val="D3B6C05E"/>
    <w:multiLevelType w:val="singleLevel"/>
    <w:tmpl w:val="D3B6C05E"/>
    <w:lvl w:ilvl="0" w:tentative="0">
      <w:start w:val="1"/>
      <w:numFmt w:val="decimal"/>
      <w:suff w:val="nothing"/>
      <w:lvlText w:val="%1、"/>
      <w:lvlJc w:val="left"/>
    </w:lvl>
  </w:abstractNum>
  <w:abstractNum w:abstractNumId="2">
    <w:nsid w:val="DFD27853"/>
    <w:multiLevelType w:val="singleLevel"/>
    <w:tmpl w:val="DFD27853"/>
    <w:lvl w:ilvl="0" w:tentative="0">
      <w:start w:val="2"/>
      <w:numFmt w:val="decimal"/>
      <w:suff w:val="nothing"/>
      <w:lvlText w:val="%1、"/>
      <w:lvlJc w:val="left"/>
    </w:lvl>
  </w:abstractNum>
  <w:abstractNum w:abstractNumId="3">
    <w:nsid w:val="ED47513D"/>
    <w:multiLevelType w:val="singleLevel"/>
    <w:tmpl w:val="ED47513D"/>
    <w:lvl w:ilvl="0" w:tentative="0">
      <w:start w:val="1"/>
      <w:numFmt w:val="decimal"/>
      <w:lvlText w:val="(%1)"/>
      <w:lvlJc w:val="left"/>
      <w:pPr>
        <w:ind w:left="425" w:hanging="425"/>
      </w:pPr>
      <w:rPr>
        <w:rFonts w:hint="default"/>
      </w:rPr>
    </w:lvl>
  </w:abstractNum>
  <w:abstractNum w:abstractNumId="4">
    <w:nsid w:val="F15BCAE8"/>
    <w:multiLevelType w:val="singleLevel"/>
    <w:tmpl w:val="F15BCAE8"/>
    <w:lvl w:ilvl="0" w:tentative="0">
      <w:start w:val="1"/>
      <w:numFmt w:val="decimal"/>
      <w:lvlText w:val="(%1)"/>
      <w:lvlJc w:val="left"/>
      <w:pPr>
        <w:ind w:left="425" w:hanging="425"/>
      </w:pPr>
      <w:rPr>
        <w:rFonts w:hint="default"/>
      </w:rPr>
    </w:lvl>
  </w:abstractNum>
  <w:abstractNum w:abstractNumId="5">
    <w:nsid w:val="4BCBF9F0"/>
    <w:multiLevelType w:val="singleLevel"/>
    <w:tmpl w:val="4BCBF9F0"/>
    <w:lvl w:ilvl="0" w:tentative="0">
      <w:start w:val="1"/>
      <w:numFmt w:val="decimal"/>
      <w:lvlText w:val="(%1)"/>
      <w:lvlJc w:val="left"/>
      <w:pPr>
        <w:ind w:left="425" w:hanging="425"/>
      </w:pPr>
      <w:rPr>
        <w:rFonts w:hint="default"/>
      </w:rPr>
    </w:lvl>
  </w:abstractNum>
  <w:abstractNum w:abstractNumId="6">
    <w:nsid w:val="56F41E14"/>
    <w:multiLevelType w:val="singleLevel"/>
    <w:tmpl w:val="56F41E14"/>
    <w:lvl w:ilvl="0" w:tentative="0">
      <w:start w:val="1"/>
      <w:numFmt w:val="decimal"/>
      <w:lvlText w:val="(%1)"/>
      <w:lvlJc w:val="left"/>
      <w:pPr>
        <w:ind w:left="425" w:hanging="425"/>
      </w:pPr>
      <w:rPr>
        <w:rFonts w:hint="default"/>
      </w:r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F0CE4"/>
    <w:rsid w:val="5F4F0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 w:type="paragraph" w:customStyle="1" w:styleId="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2025-10-14T05:03:00Z</dcterms:created>
  <dc:creator>来过</dc:creator>
  <cp:lastModifiedBy>来过</cp:lastModifiedBy>
  <dcterms:modified xsi:type="dcterms:W3CDTF">2025-10-14T05:04:56Z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25E891C12CE646F2B77E572C05F12794_11</vt:lpwstr>
  </property>
  <property fmtid="{D5CDD505-2E9C-101B-9397-08002B2CF9AE}" pid="4" name="KSOTemplateDocerSaveRecord">
    <vt:lpwstr>eyJoZGlkIjoiMjI1ZjVkYzgwNjFlMjU4MWM1ZmYyMmUxYTFhMDliMjAiLCJ1c2VySWQiOiIxMTQ4ODQ3MjI0In0=</vt:lpwstr>
  </property>
</Properties>
</file>