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BB908">
      <w:pPr>
        <w:keepNext w:val="0"/>
        <w:keepLines w:val="0"/>
        <w:pageBreakBefore w:val="0"/>
        <w:kinsoku/>
        <w:wordWrap/>
        <w:overflowPunct/>
        <w:topLinePunct w:val="0"/>
        <w:bidi w:val="0"/>
        <w:adjustRightInd/>
        <w:snapToGrid/>
        <w:rPr>
          <w:rFonts w:hint="eastAsia" w:ascii="仿宋" w:hAnsi="仿宋" w:eastAsia="仿宋" w:cs="仿宋"/>
          <w:lang w:val="en-US" w:eastAsia="zh-CN"/>
        </w:rPr>
      </w:pPr>
    </w:p>
    <w:p w14:paraId="64A51DD1">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附件2</w:t>
      </w:r>
    </w:p>
    <w:p w14:paraId="38CC131E">
      <w:pPr>
        <w:spacing w:after="0" w:line="440" w:lineRule="exact"/>
        <w:jc w:val="center"/>
        <w:rPr>
          <w:rFonts w:hint="eastAsia" w:ascii="仿宋" w:hAnsi="仿宋" w:eastAsia="仿宋" w:cs="仿宋"/>
          <w:b/>
          <w:sz w:val="36"/>
          <w:szCs w:val="36"/>
        </w:rPr>
      </w:pPr>
      <w:r>
        <w:rPr>
          <w:rFonts w:hint="eastAsia" w:ascii="仿宋" w:hAnsi="仿宋" w:eastAsia="仿宋" w:cs="仿宋"/>
          <w:b/>
          <w:sz w:val="36"/>
          <w:szCs w:val="36"/>
        </w:rPr>
        <w:t>项目采购需求</w:t>
      </w:r>
    </w:p>
    <w:p w14:paraId="38787FBE">
      <w:pPr>
        <w:snapToGrid w:val="0"/>
        <w:spacing w:after="0" w:line="440" w:lineRule="exact"/>
        <w:rPr>
          <w:rFonts w:hint="eastAsia" w:ascii="仿宋" w:hAnsi="仿宋" w:eastAsia="仿宋" w:cs="仿宋"/>
          <w:b/>
          <w:bCs/>
          <w:sz w:val="28"/>
          <w:szCs w:val="28"/>
        </w:rPr>
      </w:pPr>
    </w:p>
    <w:p w14:paraId="2E209472">
      <w:pPr>
        <w:keepNext w:val="0"/>
        <w:keepLines w:val="0"/>
        <w:pageBreakBefore w:val="0"/>
        <w:widowControl w:val="0"/>
        <w:kinsoku/>
        <w:wordWrap/>
        <w:overflowPunct/>
        <w:topLinePunct w:val="0"/>
        <w:autoSpaceDE/>
        <w:autoSpaceDN/>
        <w:bidi w:val="0"/>
        <w:snapToGrid w:val="0"/>
        <w:spacing w:after="0"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13413E16">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我院拟新建</w:t>
      </w:r>
      <w:r>
        <w:rPr>
          <w:rFonts w:hint="eastAsia" w:ascii="仿宋" w:hAnsi="仿宋" w:eastAsia="仿宋" w:cs="仿宋"/>
          <w:sz w:val="32"/>
          <w:szCs w:val="32"/>
          <w:highlight w:val="none"/>
          <w:lang w:val="en-US" w:eastAsia="zh-CN"/>
        </w:rPr>
        <w:t>新院区（质子治疗中心）配备质子加速器用于患者的放射治疗。</w:t>
      </w:r>
    </w:p>
    <w:p w14:paraId="1AEAE875">
      <w:pPr>
        <w:keepNext w:val="0"/>
        <w:keepLines w:val="0"/>
        <w:pageBreakBefore w:val="0"/>
        <w:widowControl w:val="0"/>
        <w:kinsoku/>
        <w:wordWrap/>
        <w:overflowPunct/>
        <w:topLinePunct w:val="0"/>
        <w:autoSpaceDE/>
        <w:autoSpaceDN/>
        <w:bidi w:val="0"/>
        <w:snapToGrid w:val="0"/>
        <w:spacing w:after="0" w:line="360" w:lineRule="auto"/>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预评和控评：根据《放射诊疗建设项目卫生审查管理规定》第七条规定：“建设单位应当在放射诊疗建设项目施工前向卫生行政部门申请建设项目职业病危害放射防护预评价审核”。根据《中华人民共和国职业病防治法》第十八条规定：“建设项目在竣工验收前，建设单位应当进行职业病危害控制效果评价。建设项目竣工验收时，其职业病防护设施经安全生产监督管理部门验收合格后，方可投入正式生产和使用”。根据卫生相关法律要求，需要委托有甲级资质的服务机构进行放射性职业病危害预评价和控制效果评价。</w:t>
      </w:r>
    </w:p>
    <w:p w14:paraId="3770F881">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color w:val="000000"/>
          <w:kern w:val="0"/>
          <w:sz w:val="32"/>
          <w:szCs w:val="32"/>
          <w:lang w:val="en-US" w:eastAsia="zh-CN" w:bidi="ar-SA"/>
        </w:rPr>
        <w:t>环评验收：</w:t>
      </w:r>
      <w:r>
        <w:rPr>
          <w:rFonts w:hint="eastAsia" w:ascii="仿宋" w:hAnsi="仿宋" w:eastAsia="仿宋" w:cs="仿宋"/>
          <w:kern w:val="0"/>
          <w:sz w:val="32"/>
          <w:szCs w:val="32"/>
        </w:rPr>
        <w:t>根据《中华人民共和国环境影响评价法》第三条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对环境有影响的项目，应当进行环境影响评价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。根据《建设项目环境影响评价分类管理名录》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使用</w:t>
      </w:r>
      <w:r>
        <w:rPr>
          <w:rFonts w:hint="eastAsia" w:ascii="宋体" w:hAnsi="宋体" w:eastAsia="宋体" w:cs="宋体"/>
          <w:kern w:val="0"/>
          <w:sz w:val="32"/>
          <w:szCs w:val="32"/>
        </w:rPr>
        <w:t>Ⅰ</w:t>
      </w:r>
      <w:r>
        <w:rPr>
          <w:rFonts w:hint="eastAsia" w:ascii="仿宋" w:hAnsi="仿宋" w:eastAsia="仿宋" w:cs="仿宋"/>
          <w:kern w:val="0"/>
          <w:sz w:val="32"/>
          <w:szCs w:val="32"/>
        </w:rPr>
        <w:t>类射线装置应当编制环境影响报告</w:t>
      </w:r>
      <w:r>
        <w:rPr>
          <w:rFonts w:hint="eastAsia" w:ascii="仿宋" w:hAnsi="仿宋" w:eastAsia="仿宋" w:cs="仿宋"/>
          <w:kern w:val="0"/>
          <w:sz w:val="32"/>
          <w:szCs w:val="32"/>
          <w:lang w:val="en-US" w:eastAsia="zh-CN"/>
        </w:rPr>
        <w:t>书</w:t>
      </w:r>
      <w:r>
        <w:rPr>
          <w:rFonts w:hint="eastAsia" w:ascii="仿宋" w:hAnsi="仿宋" w:eastAsia="仿宋" w:cs="仿宋"/>
          <w:kern w:val="0"/>
          <w:sz w:val="32"/>
          <w:szCs w:val="32"/>
        </w:rPr>
        <w:t>。”。根据《建设项目竣工环境保护验收管理办法》规定：“建设项目竣工后，建设单位应当向有审批权的环境保护行政主管部门，申请该建设项目竣工环境保护验收”。</w:t>
      </w:r>
      <w:r>
        <w:rPr>
          <w:rFonts w:hint="eastAsia" w:ascii="仿宋" w:hAnsi="仿宋" w:eastAsia="仿宋" w:cs="仿宋"/>
          <w:kern w:val="0"/>
          <w:sz w:val="32"/>
          <w:szCs w:val="32"/>
          <w:lang w:val="en-US" w:eastAsia="zh-CN"/>
        </w:rPr>
        <w:t>根据生态环境部门相关法律要求，该项目需要委托有相应资质的服务机构进行环境影响评价、辐射安全许可证取证技术服务和环保竣工验收。</w:t>
      </w:r>
    </w:p>
    <w:p w14:paraId="257C0FA5">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sz w:val="28"/>
          <w:szCs w:val="36"/>
          <w:lang w:val="en-US" w:eastAsia="zh-CN"/>
        </w:rPr>
      </w:pPr>
      <w:r>
        <w:rPr>
          <w:rFonts w:hint="eastAsia"/>
          <w:sz w:val="28"/>
          <w:szCs w:val="36"/>
          <w:lang w:val="en-US" w:eastAsia="zh-CN"/>
        </w:rPr>
        <w:t>二、特定资格要求</w:t>
      </w:r>
    </w:p>
    <w:p w14:paraId="671A801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供应商具有《放射卫生技术服务机构资质证书》（甲级），具有5名以上注册环境影响评价工程师，具有8名以上注册核安全工程师，参与过三项以上加速器项目相关工作，具备编制加速器等核技术利用项目环境影响评价报告编制、辐射安全许可证取证辐射安全分析报告及竣工环境保护验收工作经验和能力。</w:t>
      </w:r>
    </w:p>
    <w:p w14:paraId="21447F00">
      <w:pPr>
        <w:numPr>
          <w:ilvl w:val="0"/>
          <w:numId w:val="0"/>
        </w:numPr>
        <w:ind w:leftChars="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三、服务期限</w:t>
      </w:r>
    </w:p>
    <w:p w14:paraId="7CEAE9F3">
      <w:pPr>
        <w:numPr>
          <w:ilvl w:val="0"/>
          <w:numId w:val="1"/>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预评价：资料齐全后3个月内向卫健委提交上会版报告。</w:t>
      </w:r>
    </w:p>
    <w:p w14:paraId="6E1FD553">
      <w:pPr>
        <w:numPr>
          <w:ilvl w:val="0"/>
          <w:numId w:val="1"/>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控制效果评价：现场满足竣工验收条件且资料齐全后3个月内向卫健委提交上会版报告。</w:t>
      </w:r>
    </w:p>
    <w:p w14:paraId="2384B0C9">
      <w:pPr>
        <w:numPr>
          <w:ilvl w:val="0"/>
          <w:numId w:val="1"/>
        </w:numPr>
        <w:ind w:leftChars="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环保：合同签订后，2个月内完成场址辐射环境现状调查；设计文件等相关资料齐全后，3个月内完成环境影响报告书编制，满足上报山西省生态环境厅的条件；现场满足竣工验收条件且资料齐全后，2个月内完成辐射安全分析报告的编制工作，满足上报国家核安全局的条件；现场满足竣工环境保护验收条件后2个月内完成竣工环境保护验收监测及验收监测报告的编制</w:t>
      </w:r>
    </w:p>
    <w:p w14:paraId="3B214517">
      <w:pPr>
        <w:numPr>
          <w:ilvl w:val="0"/>
          <w:numId w:val="0"/>
        </w:numPr>
        <w:ind w:leftChars="0"/>
        <w:outlineLvl w:val="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四、服务地点</w:t>
      </w:r>
    </w:p>
    <w:p w14:paraId="2C94674F">
      <w:pPr>
        <w:numPr>
          <w:ilvl w:val="0"/>
          <w:numId w:val="0"/>
        </w:numPr>
        <w:ind w:leftChars="0" w:firstLine="960" w:firstLineChars="3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山西太原</w:t>
      </w:r>
    </w:p>
    <w:p w14:paraId="48F5C494">
      <w:pPr>
        <w:numPr>
          <w:ilvl w:val="0"/>
          <w:numId w:val="0"/>
        </w:numPr>
        <w:ind w:leftChars="0"/>
        <w:jc w:val="left"/>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五、付款方式</w:t>
      </w:r>
    </w:p>
    <w:p w14:paraId="06F7BA6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lang w:val="en-US" w:eastAsia="zh-CN"/>
        </w:rPr>
      </w:pPr>
      <w:r>
        <w:rPr>
          <w:rFonts w:hint="eastAsia" w:ascii="仿宋" w:hAnsi="仿宋" w:eastAsia="仿宋" w:cs="仿宋"/>
          <w:sz w:val="32"/>
          <w:szCs w:val="32"/>
          <w:highlight w:val="none"/>
          <w:lang w:val="en-US" w:eastAsia="zh-CN"/>
        </w:rPr>
        <w:t>分三次：预评价报告完成后支付三分之一；取得环境影响评价批复后支付三分之一；取得辐射安全许可证、完成控制效果评价报告和竣工环保验收完成后支付三分之一。</w:t>
      </w:r>
    </w:p>
    <w:p w14:paraId="4FF4A3F7">
      <w:pPr>
        <w:numPr>
          <w:ilvl w:val="0"/>
          <w:numId w:val="0"/>
        </w:numPr>
        <w:ind w:leftChars="0"/>
        <w:jc w:val="left"/>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六、服务内容及技术参数</w:t>
      </w:r>
    </w:p>
    <w:p w14:paraId="45A5497F">
      <w:pPr>
        <w:numPr>
          <w:ilvl w:val="0"/>
          <w:numId w:val="0"/>
        </w:numPr>
        <w:ind w:lef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内容：</w:t>
      </w:r>
      <w:r>
        <w:rPr>
          <w:rFonts w:hint="default" w:ascii="仿宋" w:hAnsi="仿宋" w:eastAsia="仿宋" w:cs="仿宋"/>
          <w:sz w:val="32"/>
          <w:szCs w:val="32"/>
          <w:highlight w:val="none"/>
          <w:lang w:val="en-US" w:eastAsia="zh-CN"/>
        </w:rPr>
        <w:t>环境保护技术服务</w:t>
      </w:r>
      <w:r>
        <w:rPr>
          <w:rFonts w:hint="eastAsia" w:ascii="仿宋" w:hAnsi="仿宋" w:eastAsia="仿宋" w:cs="仿宋"/>
          <w:sz w:val="32"/>
          <w:szCs w:val="32"/>
          <w:highlight w:val="none"/>
          <w:lang w:val="en-US" w:eastAsia="zh-CN"/>
        </w:rPr>
        <w:t>（含核技术利用项目环境影响评价技术服务、核技术利用项目竣工环境保护验收技术服务）</w:t>
      </w:r>
      <w:r>
        <w:rPr>
          <w:rFonts w:hint="default" w:ascii="仿宋" w:hAnsi="仿宋" w:eastAsia="仿宋" w:cs="仿宋"/>
          <w:sz w:val="32"/>
          <w:szCs w:val="32"/>
          <w:highlight w:val="none"/>
          <w:lang w:val="en-US" w:eastAsia="zh-CN"/>
        </w:rPr>
        <w:t>、辐射安全许可证取证技术服务、放射性职业病危害预评价与控制效果评价技术服务</w:t>
      </w:r>
      <w:r>
        <w:rPr>
          <w:rFonts w:hint="eastAsia" w:ascii="仿宋" w:hAnsi="仿宋" w:eastAsia="仿宋" w:cs="仿宋"/>
          <w:sz w:val="32"/>
          <w:szCs w:val="32"/>
          <w:highlight w:val="none"/>
          <w:lang w:val="en-US" w:eastAsia="zh-CN"/>
        </w:rPr>
        <w:t>。</w:t>
      </w:r>
    </w:p>
    <w:p w14:paraId="0EC61692">
      <w:pPr>
        <w:pStyle w:val="5"/>
        <w:spacing w:line="560" w:lineRule="exact"/>
        <w:ind w:firstLine="56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技术参数：</w:t>
      </w:r>
    </w:p>
    <w:p w14:paraId="3DE5D6CB">
      <w:pPr>
        <w:pStyle w:val="5"/>
        <w:spacing w:line="560" w:lineRule="exact"/>
        <w:ind w:firstLine="56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（一）投标文件中须提供完整的评价方案，方案中要有进度保证措施、质量保证措施和安全保证措施等内容。</w:t>
      </w:r>
    </w:p>
    <w:p w14:paraId="39B163F1">
      <w:pPr>
        <w:pStyle w:val="5"/>
        <w:spacing w:line="560" w:lineRule="exact"/>
        <w:ind w:firstLine="56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（二）合同期间内解答院方对项目的所有疑问和相关咨询。</w:t>
      </w:r>
    </w:p>
    <w:p w14:paraId="16972DD5">
      <w:pPr>
        <w:pStyle w:val="5"/>
        <w:spacing w:line="560" w:lineRule="exact"/>
        <w:ind w:firstLine="56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★（三）出具的评价报告分别满足环保部及山西省卫健委的要求。</w:t>
      </w:r>
    </w:p>
    <w:p w14:paraId="53F5CD82">
      <w:pPr>
        <w:pStyle w:val="5"/>
        <w:spacing w:line="560" w:lineRule="exact"/>
        <w:ind w:firstLine="56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（四）技术人员配备，应提供至少10人中国疾控或者中国卫生监督协会颁发组织的放射卫生培训证、5名注册环境影响评价工程师及8名注册核安全工程师。</w:t>
      </w:r>
    </w:p>
    <w:p w14:paraId="7D6161C4">
      <w:pPr>
        <w:numPr>
          <w:ilvl w:val="0"/>
          <w:numId w:val="0"/>
        </w:numPr>
        <w:ind w:leftChars="0"/>
        <w:jc w:val="left"/>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七、服务内容及技术参数中允许负偏离条数</w:t>
      </w:r>
    </w:p>
    <w:p w14:paraId="1B59C094">
      <w:pPr>
        <w:pStyle w:val="2"/>
        <w:rPr>
          <w:rFonts w:hint="default"/>
          <w:lang w:val="en-US" w:eastAsia="zh-CN"/>
        </w:rPr>
      </w:pPr>
      <w:r>
        <w:rPr>
          <w:rFonts w:hint="eastAsia" w:ascii="仿宋" w:hAnsi="仿宋" w:eastAsia="仿宋" w:cs="仿宋"/>
          <w:sz w:val="32"/>
          <w:szCs w:val="32"/>
          <w:highlight w:val="none"/>
          <w:lang w:val="en-US" w:eastAsia="zh-CN"/>
        </w:rPr>
        <w:t>不允许负偏离。</w:t>
      </w:r>
    </w:p>
    <w:p w14:paraId="69431A17">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kern w:val="0"/>
          <w:sz w:val="32"/>
          <w:szCs w:val="32"/>
          <w:lang w:val="en-US" w:eastAsia="zh-CN"/>
        </w:rPr>
      </w:pPr>
    </w:p>
    <w:p w14:paraId="7F1E16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53203"/>
    <w:multiLevelType w:val="singleLevel"/>
    <w:tmpl w:val="14D532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E5CAD"/>
    <w:rsid w:val="5BEE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next w:val="1"/>
    <w:qFormat/>
    <w:uiPriority w:val="0"/>
    <w:pPr>
      <w:keepNext w:val="0"/>
      <w:keepLines w:val="0"/>
      <w:widowControl w:val="0"/>
      <w:suppressLineNumbers w:val="0"/>
      <w:spacing w:before="0" w:beforeAutospacing="0" w:after="120" w:afterAutospacing="0"/>
      <w:ind w:left="0" w:right="0" w:firstLine="420" w:firstLineChars="100"/>
      <w:jc w:val="both"/>
    </w:pPr>
    <w:rPr>
      <w:kern w:val="2"/>
      <w:sz w:val="21"/>
      <w:szCs w:val="22"/>
    </w:rPr>
  </w:style>
  <w:style w:type="paragraph" w:styleId="5">
    <w:name w:val="List Paragraph"/>
    <w:basedOn w:val="1"/>
    <w:qFormat/>
    <w:uiPriority w:val="34"/>
    <w:pPr>
      <w:ind w:firstLine="420" w:firstLineChars="200"/>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2025-08-29T03:43:00Z</dcterms:created>
  <dc:creator>来过</dc:creator>
  <cp:lastModifiedBy>来过</cp:lastModifiedBy>
  <dcterms:modified xsi:type="dcterms:W3CDTF">2025-08-29T03:43:18Z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0E6A2B545A774F29A0DC2297F409F534_11</vt:lpwstr>
  </property>
  <property fmtid="{D5CDD505-2E9C-101B-9397-08002B2CF9AE}" pid="4" name="KSOTemplateDocerSaveRecord">
    <vt:lpwstr>eyJoZGlkIjoiMjI1ZjVkYzgwNjFlMjU4MWM1ZmYyMmUxYTFhMDliMjAiLCJ1c2VySWQiOiIxMTQ4ODQ3MjI0In0=</vt:lpwstr>
  </property>
</Properties>
</file>