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E7334">
      <w:pPr>
        <w:pStyle w:val="3"/>
        <w:numPr>
          <w:ilvl w:val="0"/>
          <w:numId w:val="0"/>
        </w:num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项目概述</w:t>
      </w:r>
    </w:p>
    <w:p w14:paraId="6E6D2B9B">
      <w:pPr>
        <w:pStyle w:val="3"/>
      </w:pPr>
    </w:p>
    <w:p w14:paraId="5EADD146"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/>
          <w:lang w:val="en-US" w:eastAsia="zh-CN"/>
        </w:rPr>
        <w:t>机房核心设备续保和运维服务</w:t>
      </w:r>
    </w:p>
    <w:p w14:paraId="6950A3CF">
      <w:pPr>
        <w:pStyle w:val="3"/>
        <w:numPr>
          <w:ilvl w:val="0"/>
          <w:numId w:val="1"/>
        </w:numPr>
        <w:rPr>
          <w:rFonts w:hint="default" w:eastAsia="宋体"/>
          <w:lang w:val="en-US" w:eastAsia="zh-CN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位置：</w:t>
      </w:r>
      <w:r>
        <w:rPr>
          <w:rFonts w:hint="eastAsia"/>
          <w:b w:val="0"/>
          <w:bCs/>
          <w:lang w:val="en-US" w:eastAsia="zh-CN"/>
        </w:rPr>
        <w:t>山西省肿瘤医院</w:t>
      </w:r>
    </w:p>
    <w:p w14:paraId="55A91909">
      <w:pPr>
        <w:pStyle w:val="3"/>
        <w:numPr>
          <w:ilvl w:val="0"/>
          <w:numId w:val="1"/>
        </w:numPr>
      </w:pPr>
      <w:r>
        <w:rPr>
          <w:rFonts w:hint="eastAsia"/>
        </w:rPr>
        <w:t>项目概况</w:t>
      </w:r>
    </w:p>
    <w:p w14:paraId="53324A21">
      <w:pPr>
        <w:pStyle w:val="10"/>
        <w:ind w:firstLine="480"/>
      </w:pPr>
      <w:r>
        <w:rPr>
          <w:sz w:val="28"/>
          <w:szCs w:val="28"/>
        </w:rPr>
        <w:t>医院</w:t>
      </w:r>
      <w:r>
        <w:rPr>
          <w:rFonts w:hint="eastAsia"/>
          <w:sz w:val="28"/>
          <w:szCs w:val="28"/>
        </w:rPr>
        <w:t>数据中心机房核心设备的运维</w:t>
      </w:r>
      <w:r>
        <w:rPr>
          <w:sz w:val="28"/>
          <w:szCs w:val="28"/>
        </w:rPr>
        <w:t>工作是医院信息化建设中重要的组成部分，是保障医院信息系统稳定运行的关键环节，直接关系到医疗服务质量和患者满意度，同时也关系到医院未来的发展。</w:t>
      </w:r>
    </w:p>
    <w:p w14:paraId="680F1726">
      <w:pPr>
        <w:pStyle w:val="3"/>
        <w:numPr>
          <w:ilvl w:val="0"/>
          <w:numId w:val="1"/>
        </w:numPr>
      </w:pPr>
      <w:r>
        <w:rPr>
          <w:rFonts w:hint="eastAsia"/>
          <w:lang w:val="en-US" w:eastAsia="zh-CN"/>
        </w:rPr>
        <w:t>项目要求</w:t>
      </w:r>
    </w:p>
    <w:p w14:paraId="25F7F8A1">
      <w:pPr>
        <w:pStyle w:val="4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.1服务对象</w:t>
      </w:r>
    </w:p>
    <w:p w14:paraId="113CAABC">
      <w:pPr>
        <w:ind w:firstLine="482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医院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数据中心中所有</w:t>
      </w:r>
      <w:r>
        <w:rPr>
          <w:rFonts w:hint="eastAsia"/>
          <w:sz w:val="28"/>
          <w:szCs w:val="28"/>
        </w:rPr>
        <w:t>服务器设备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存储类设备（包含存储网关、存储机头、存储扩展柜、光纤交换机、分布式存储节点）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网络类设备（包含交换机、路由器、负载均衡）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安全类设备（包含防火墙、入侵防御、日志审计、数据库审计等）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其他类设备（包含KVM液晶套件、运营商光转电模块、动环设备等）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虚拟化平台</w:t>
      </w:r>
      <w:r>
        <w:rPr>
          <w:rFonts w:hint="eastAsia"/>
          <w:sz w:val="28"/>
          <w:szCs w:val="28"/>
          <w:lang w:val="en-US" w:eastAsia="zh-CN"/>
        </w:rPr>
        <w:t>以及</w:t>
      </w:r>
      <w:r>
        <w:rPr>
          <w:rFonts w:hint="eastAsia"/>
          <w:sz w:val="28"/>
          <w:szCs w:val="28"/>
        </w:rPr>
        <w:t>备份系统</w:t>
      </w:r>
      <w:r>
        <w:rPr>
          <w:rFonts w:hint="eastAsia"/>
          <w:sz w:val="28"/>
          <w:szCs w:val="28"/>
          <w:lang w:eastAsia="zh-CN"/>
        </w:rPr>
        <w:t>。</w:t>
      </w:r>
      <w:bookmarkStart w:id="44" w:name="_GoBack"/>
      <w:bookmarkEnd w:id="44"/>
    </w:p>
    <w:p w14:paraId="107B1416"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4.2</w:t>
      </w:r>
      <w:r>
        <w:rPr>
          <w:rFonts w:hint="eastAsia"/>
        </w:rPr>
        <w:t>服务内容</w:t>
      </w:r>
    </w:p>
    <w:p w14:paraId="3F1DE2CA">
      <w:pPr>
        <w:pStyle w:val="4"/>
        <w:numPr>
          <w:ilvl w:val="0"/>
          <w:numId w:val="2"/>
        </w:numPr>
        <w:rPr>
          <w:rFonts w:hint="eastAsia"/>
        </w:rPr>
      </w:pPr>
      <w:bookmarkStart w:id="0" w:name="_Toc30499"/>
      <w:r>
        <w:rPr>
          <w:rFonts w:hint="eastAsia"/>
        </w:rPr>
        <w:t>基础运维服务</w:t>
      </w:r>
      <w:bookmarkEnd w:id="0"/>
    </w:p>
    <w:p w14:paraId="43529E1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基础运维服务要求</w:t>
      </w:r>
      <w:bookmarkStart w:id="1" w:name="_Toc28104"/>
      <w:bookmarkStart w:id="2" w:name="_Toc96169102"/>
      <w:r>
        <w:rPr>
          <w:rFonts w:hint="eastAsia"/>
          <w:sz w:val="28"/>
          <w:szCs w:val="28"/>
          <w:lang w:val="en-US" w:eastAsia="zh-CN"/>
        </w:rPr>
        <w:t>包含</w:t>
      </w:r>
      <w:r>
        <w:rPr>
          <w:rFonts w:hint="eastAsia"/>
          <w:sz w:val="28"/>
          <w:szCs w:val="28"/>
        </w:rPr>
        <w:t>远程技术支持服务</w:t>
      </w:r>
      <w:bookmarkEnd w:id="1"/>
      <w:bookmarkEnd w:id="2"/>
      <w:r>
        <w:rPr>
          <w:rFonts w:hint="eastAsia"/>
          <w:sz w:val="28"/>
          <w:szCs w:val="28"/>
          <w:lang w:eastAsia="zh-CN"/>
        </w:rPr>
        <w:t>、</w:t>
      </w:r>
      <w:bookmarkStart w:id="3" w:name="_Toc9816"/>
      <w:bookmarkStart w:id="4" w:name="_Toc96169103"/>
      <w:r>
        <w:rPr>
          <w:rFonts w:hint="eastAsia"/>
          <w:sz w:val="28"/>
          <w:szCs w:val="28"/>
        </w:rPr>
        <w:t>现场技术支持服务</w:t>
      </w:r>
      <w:bookmarkEnd w:id="3"/>
      <w:bookmarkEnd w:id="4"/>
      <w:r>
        <w:rPr>
          <w:rFonts w:hint="eastAsia"/>
          <w:sz w:val="28"/>
          <w:szCs w:val="28"/>
          <w:lang w:eastAsia="zh-CN"/>
        </w:rPr>
        <w:t>、</w:t>
      </w:r>
      <w:bookmarkStart w:id="5" w:name="_Toc26718"/>
      <w:bookmarkStart w:id="6" w:name="_Toc96169104"/>
      <w:r>
        <w:rPr>
          <w:rFonts w:hint="eastAsia"/>
          <w:sz w:val="28"/>
          <w:szCs w:val="28"/>
        </w:rPr>
        <w:t>现场巡检服务</w:t>
      </w:r>
      <w:bookmarkEnd w:id="5"/>
      <w:bookmarkEnd w:id="6"/>
      <w:r>
        <w:rPr>
          <w:rFonts w:hint="eastAsia"/>
          <w:sz w:val="28"/>
          <w:szCs w:val="28"/>
          <w:lang w:eastAsia="zh-CN"/>
        </w:rPr>
        <w:t>、</w:t>
      </w:r>
      <w:bookmarkStart w:id="7" w:name="_Toc23454"/>
      <w:r>
        <w:rPr>
          <w:rFonts w:hint="eastAsia"/>
          <w:sz w:val="28"/>
          <w:szCs w:val="28"/>
        </w:rPr>
        <w:t>数据中心咨询规划及整合服务</w:t>
      </w:r>
      <w:bookmarkEnd w:id="7"/>
      <w:r>
        <w:rPr>
          <w:rFonts w:hint="eastAsia"/>
          <w:sz w:val="28"/>
          <w:szCs w:val="28"/>
          <w:lang w:eastAsia="zh-CN"/>
        </w:rPr>
        <w:t>、</w:t>
      </w:r>
      <w:bookmarkStart w:id="8" w:name="_Toc8343"/>
      <w:bookmarkStart w:id="9" w:name="_Toc96169105"/>
      <w:r>
        <w:rPr>
          <w:rFonts w:hint="eastAsia"/>
          <w:sz w:val="28"/>
          <w:szCs w:val="28"/>
        </w:rPr>
        <w:t>虚拟化平台运维服务</w:t>
      </w:r>
      <w:bookmarkEnd w:id="8"/>
      <w:bookmarkEnd w:id="9"/>
      <w:r>
        <w:rPr>
          <w:rFonts w:hint="eastAsia"/>
          <w:sz w:val="28"/>
          <w:szCs w:val="28"/>
          <w:lang w:eastAsia="zh-CN"/>
        </w:rPr>
        <w:t>、</w:t>
      </w:r>
      <w:bookmarkStart w:id="10" w:name="_Toc21878"/>
      <w:r>
        <w:rPr>
          <w:rFonts w:hint="eastAsia"/>
          <w:sz w:val="28"/>
          <w:szCs w:val="28"/>
        </w:rPr>
        <w:t>备份系统运维服务</w:t>
      </w:r>
      <w:bookmarkEnd w:id="10"/>
      <w:r>
        <w:rPr>
          <w:rFonts w:hint="eastAsia"/>
          <w:sz w:val="28"/>
          <w:szCs w:val="28"/>
          <w:lang w:eastAsia="zh-CN"/>
        </w:rPr>
        <w:t>、</w:t>
      </w:r>
      <w:bookmarkStart w:id="11" w:name="_Toc19369"/>
      <w:r>
        <w:rPr>
          <w:rFonts w:hint="eastAsia"/>
          <w:sz w:val="28"/>
          <w:szCs w:val="28"/>
        </w:rPr>
        <w:t>IT运维监控系统管理</w:t>
      </w:r>
      <w:bookmarkEnd w:id="11"/>
      <w:r>
        <w:rPr>
          <w:rFonts w:hint="eastAsia"/>
          <w:sz w:val="28"/>
          <w:szCs w:val="28"/>
          <w:lang w:eastAsia="zh-CN"/>
        </w:rPr>
        <w:t>、</w:t>
      </w:r>
      <w:bookmarkStart w:id="12" w:name="_Toc96169108"/>
      <w:bookmarkStart w:id="13" w:name="_Toc2573"/>
      <w:r>
        <w:rPr>
          <w:rFonts w:hint="eastAsia"/>
          <w:sz w:val="28"/>
          <w:szCs w:val="28"/>
        </w:rPr>
        <w:t>网络、安全设备有效性检查</w:t>
      </w:r>
      <w:bookmarkEnd w:id="12"/>
      <w:r>
        <w:rPr>
          <w:rFonts w:hint="eastAsia"/>
          <w:sz w:val="28"/>
          <w:szCs w:val="28"/>
        </w:rPr>
        <w:t>及配置管理</w:t>
      </w:r>
      <w:bookmarkEnd w:id="13"/>
      <w:r>
        <w:rPr>
          <w:rFonts w:hint="eastAsia"/>
          <w:sz w:val="28"/>
          <w:szCs w:val="28"/>
          <w:lang w:eastAsia="zh-CN"/>
        </w:rPr>
        <w:t>、</w:t>
      </w:r>
      <w:bookmarkStart w:id="14" w:name="_Toc96169111"/>
      <w:bookmarkStart w:id="15" w:name="_Toc3483"/>
      <w:r>
        <w:rPr>
          <w:rFonts w:hint="eastAsia"/>
          <w:sz w:val="28"/>
          <w:szCs w:val="28"/>
        </w:rPr>
        <w:t>测评协助服务</w:t>
      </w:r>
      <w:bookmarkEnd w:id="14"/>
      <w:bookmarkEnd w:id="15"/>
      <w:r>
        <w:rPr>
          <w:rFonts w:hint="eastAsia"/>
          <w:sz w:val="28"/>
          <w:szCs w:val="28"/>
          <w:lang w:eastAsia="zh-CN"/>
        </w:rPr>
        <w:t>、</w:t>
      </w:r>
      <w:bookmarkStart w:id="16" w:name="_Toc96169110"/>
      <w:bookmarkStart w:id="17" w:name="_Toc8627"/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光纤链路检测</w:t>
      </w:r>
      <w:bookmarkEnd w:id="16"/>
      <w:bookmarkEnd w:id="17"/>
      <w:r>
        <w:rPr>
          <w:rFonts w:hint="eastAsia"/>
          <w:sz w:val="28"/>
          <w:szCs w:val="28"/>
          <w:lang w:eastAsia="zh-CN"/>
        </w:rPr>
        <w:t>、</w:t>
      </w:r>
      <w:bookmarkStart w:id="18" w:name="_Toc14419"/>
      <w:r>
        <w:rPr>
          <w:rFonts w:hint="eastAsia"/>
          <w:sz w:val="28"/>
          <w:szCs w:val="28"/>
        </w:rPr>
        <w:t>机房基础设施使用情况检查</w:t>
      </w:r>
      <w:bookmarkEnd w:id="18"/>
      <w:r>
        <w:rPr>
          <w:rFonts w:hint="eastAsia"/>
          <w:sz w:val="28"/>
          <w:szCs w:val="28"/>
          <w:lang w:eastAsia="zh-CN"/>
        </w:rPr>
        <w:t>、</w:t>
      </w:r>
      <w:bookmarkStart w:id="19" w:name="_Toc11814"/>
      <w:bookmarkStart w:id="20" w:name="_Toc96169106"/>
      <w:r>
        <w:rPr>
          <w:rFonts w:hint="eastAsia"/>
          <w:sz w:val="28"/>
          <w:szCs w:val="28"/>
        </w:rPr>
        <w:t>机柜位置图及设备架构图更新服务</w:t>
      </w:r>
      <w:bookmarkEnd w:id="19"/>
      <w:bookmarkEnd w:id="20"/>
      <w:r>
        <w:rPr>
          <w:rFonts w:hint="eastAsia"/>
          <w:sz w:val="28"/>
          <w:szCs w:val="28"/>
          <w:lang w:eastAsia="zh-CN"/>
        </w:rPr>
        <w:t>、</w:t>
      </w:r>
      <w:bookmarkStart w:id="21" w:name="_Toc18504"/>
      <w:bookmarkStart w:id="22" w:name="_Toc96169107"/>
      <w:r>
        <w:rPr>
          <w:rFonts w:hint="eastAsia"/>
          <w:sz w:val="28"/>
          <w:szCs w:val="28"/>
        </w:rPr>
        <w:t>计算、存储、网络资源使用情况更新服务</w:t>
      </w:r>
      <w:bookmarkEnd w:id="21"/>
      <w:bookmarkEnd w:id="22"/>
      <w:r>
        <w:rPr>
          <w:rFonts w:hint="eastAsia"/>
          <w:sz w:val="28"/>
          <w:szCs w:val="28"/>
          <w:lang w:eastAsia="zh-CN"/>
        </w:rPr>
        <w:t>、</w:t>
      </w:r>
      <w:bookmarkStart w:id="23" w:name="_Toc96169109"/>
      <w:bookmarkStart w:id="24" w:name="_Toc19719"/>
      <w:r>
        <w:rPr>
          <w:rFonts w:hint="eastAsia"/>
          <w:sz w:val="28"/>
          <w:szCs w:val="28"/>
        </w:rPr>
        <w:t>统一用户名密码信息管理机制服务</w:t>
      </w:r>
      <w:bookmarkEnd w:id="23"/>
      <w:bookmarkEnd w:id="24"/>
      <w:r>
        <w:rPr>
          <w:rFonts w:hint="eastAsia"/>
          <w:sz w:val="28"/>
          <w:szCs w:val="28"/>
          <w:lang w:eastAsia="zh-CN"/>
        </w:rPr>
        <w:t>、</w:t>
      </w:r>
      <w:bookmarkStart w:id="25" w:name="_Toc13191"/>
      <w:bookmarkStart w:id="26" w:name="_Toc96169115"/>
      <w:r>
        <w:rPr>
          <w:rFonts w:hint="eastAsia"/>
          <w:sz w:val="28"/>
          <w:szCs w:val="28"/>
        </w:rPr>
        <w:t>统一线缆标识及更新服务</w:t>
      </w:r>
      <w:bookmarkEnd w:id="25"/>
      <w:bookmarkEnd w:id="26"/>
      <w:r>
        <w:rPr>
          <w:rFonts w:hint="eastAsia"/>
          <w:sz w:val="28"/>
          <w:szCs w:val="28"/>
          <w:lang w:eastAsia="zh-CN"/>
        </w:rPr>
        <w:t>、</w:t>
      </w:r>
      <w:bookmarkStart w:id="27" w:name="_Toc96169112"/>
      <w:bookmarkStart w:id="28" w:name="_Toc5947"/>
      <w:r>
        <w:rPr>
          <w:rFonts w:hint="eastAsia"/>
          <w:sz w:val="28"/>
          <w:szCs w:val="28"/>
        </w:rPr>
        <w:t>技术专家顾问级服务</w:t>
      </w:r>
      <w:bookmarkEnd w:id="27"/>
      <w:bookmarkEnd w:id="28"/>
      <w:r>
        <w:rPr>
          <w:rFonts w:hint="eastAsia"/>
          <w:sz w:val="28"/>
          <w:szCs w:val="28"/>
          <w:lang w:eastAsia="zh-CN"/>
        </w:rPr>
        <w:t>、</w:t>
      </w:r>
      <w:bookmarkStart w:id="29" w:name="_Toc96169113"/>
      <w:bookmarkStart w:id="30" w:name="_Toc1587"/>
      <w:r>
        <w:rPr>
          <w:rFonts w:hint="eastAsia"/>
          <w:sz w:val="28"/>
          <w:szCs w:val="28"/>
        </w:rPr>
        <w:t>节假日应急响应服务</w:t>
      </w:r>
      <w:bookmarkEnd w:id="29"/>
      <w:bookmarkEnd w:id="30"/>
      <w:r>
        <w:rPr>
          <w:rFonts w:hint="eastAsia"/>
          <w:sz w:val="28"/>
          <w:szCs w:val="28"/>
          <w:lang w:eastAsia="zh-CN"/>
        </w:rPr>
        <w:t>、</w:t>
      </w:r>
      <w:bookmarkStart w:id="31" w:name="_Toc96169114"/>
      <w:bookmarkStart w:id="32" w:name="_Toc3074"/>
      <w:r>
        <w:rPr>
          <w:rFonts w:hint="eastAsia"/>
          <w:sz w:val="28"/>
          <w:szCs w:val="28"/>
        </w:rPr>
        <w:t>应急演练服务</w:t>
      </w:r>
      <w:bookmarkEnd w:id="31"/>
      <w:bookmarkEnd w:id="32"/>
      <w:r>
        <w:rPr>
          <w:rFonts w:hint="eastAsia"/>
          <w:sz w:val="28"/>
          <w:szCs w:val="28"/>
          <w:lang w:val="en-US" w:eastAsia="zh-CN"/>
        </w:rPr>
        <w:t>等。</w:t>
      </w:r>
    </w:p>
    <w:p w14:paraId="7741E4F5">
      <w:pPr>
        <w:pStyle w:val="4"/>
        <w:rPr>
          <w:rFonts w:hint="eastAsia"/>
          <w:sz w:val="28"/>
          <w:szCs w:val="28"/>
          <w:lang w:eastAsia="zh-CN"/>
        </w:rPr>
      </w:pPr>
      <w:bookmarkStart w:id="33" w:name="_Toc24482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）驻场服务</w:t>
      </w:r>
    </w:p>
    <w:p w14:paraId="68279E4F">
      <w:pPr>
        <w:pStyle w:val="5"/>
        <w:ind w:firstLine="420" w:firstLineChars="0"/>
        <w:rPr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工程师驻场服务 </w:t>
      </w:r>
    </w:p>
    <w:p w14:paraId="65C59637">
      <w:pPr>
        <w:ind w:firstLine="48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要求</w:t>
      </w:r>
      <w:r>
        <w:rPr>
          <w:color w:val="000000"/>
          <w:kern w:val="0"/>
          <w:sz w:val="28"/>
          <w:szCs w:val="28"/>
        </w:rPr>
        <w:t>派驻1名驻现场工程师，与医院信息科日常工作时间一致，随时响应，进行驻现场维护服务。</w:t>
      </w:r>
    </w:p>
    <w:p w14:paraId="623FA72B">
      <w:pPr>
        <w:pStyle w:val="4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设备维保服务</w:t>
      </w:r>
      <w:bookmarkEnd w:id="33"/>
    </w:p>
    <w:p w14:paraId="77D4B1CD">
      <w:pPr>
        <w:pStyle w:val="5"/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设备维保服务 </w:t>
      </w:r>
    </w:p>
    <w:p w14:paraId="0C2E40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设备维保内容针对数据中心机房核心设备提供</w:t>
      </w:r>
      <w:r>
        <w:rPr>
          <w:rFonts w:hint="eastAsia"/>
          <w:sz w:val="28"/>
          <w:szCs w:val="28"/>
          <w:lang w:val="en-US" w:eastAsia="zh-CN"/>
        </w:rPr>
        <w:t>维保服务</w:t>
      </w:r>
      <w:r>
        <w:rPr>
          <w:rFonts w:hint="eastAsia"/>
          <w:sz w:val="28"/>
          <w:szCs w:val="28"/>
        </w:rPr>
        <w:t>。</w:t>
      </w:r>
    </w:p>
    <w:p w14:paraId="655ACBB8">
      <w:pPr>
        <w:pStyle w:val="4"/>
        <w:numPr>
          <w:ilvl w:val="0"/>
          <w:numId w:val="3"/>
        </w:numPr>
        <w:rPr>
          <w:rFonts w:hint="eastAsia"/>
          <w:sz w:val="28"/>
          <w:szCs w:val="28"/>
        </w:rPr>
      </w:pPr>
      <w:bookmarkStart w:id="34" w:name="_Toc24069"/>
      <w:r>
        <w:rPr>
          <w:rFonts w:hint="eastAsia"/>
          <w:sz w:val="28"/>
          <w:szCs w:val="28"/>
        </w:rPr>
        <w:t>安全运维服务</w:t>
      </w:r>
      <w:bookmarkEnd w:id="34"/>
    </w:p>
    <w:p w14:paraId="5E888D5A">
      <w:pPr>
        <w:numPr>
          <w:numId w:val="0"/>
        </w:numPr>
        <w:ind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安全运维服务要求包含</w:t>
      </w:r>
      <w:bookmarkStart w:id="35" w:name="_Toc15815"/>
      <w:r>
        <w:rPr>
          <w:rFonts w:hint="eastAsia"/>
          <w:sz w:val="28"/>
          <w:szCs w:val="28"/>
        </w:rPr>
        <w:t>安全设备特征库、病毒库更新分析</w:t>
      </w:r>
      <w:bookmarkEnd w:id="35"/>
      <w:r>
        <w:rPr>
          <w:rFonts w:hint="eastAsia"/>
          <w:sz w:val="28"/>
          <w:szCs w:val="28"/>
          <w:lang w:eastAsia="zh-CN"/>
        </w:rPr>
        <w:t>、</w:t>
      </w:r>
      <w:bookmarkStart w:id="36" w:name="_Toc31155"/>
      <w:r>
        <w:rPr>
          <w:sz w:val="28"/>
          <w:szCs w:val="28"/>
        </w:rPr>
        <w:t>资产梳理</w:t>
      </w:r>
      <w:bookmarkEnd w:id="36"/>
      <w:r>
        <w:rPr>
          <w:rFonts w:hint="eastAsia"/>
          <w:sz w:val="28"/>
          <w:szCs w:val="28"/>
          <w:lang w:eastAsia="zh-CN"/>
        </w:rPr>
        <w:t>、</w:t>
      </w:r>
      <w:bookmarkStart w:id="37" w:name="_Toc12426"/>
      <w:r>
        <w:rPr>
          <w:sz w:val="28"/>
          <w:szCs w:val="28"/>
        </w:rPr>
        <w:t>基线核查</w:t>
      </w:r>
      <w:bookmarkEnd w:id="37"/>
      <w:r>
        <w:rPr>
          <w:rFonts w:hint="eastAsia"/>
          <w:sz w:val="28"/>
          <w:szCs w:val="28"/>
          <w:lang w:eastAsia="zh-CN"/>
        </w:rPr>
        <w:t>、</w:t>
      </w:r>
      <w:bookmarkStart w:id="38" w:name="_Toc6049"/>
      <w:r>
        <w:rPr>
          <w:rFonts w:hint="eastAsia"/>
          <w:sz w:val="28"/>
          <w:szCs w:val="28"/>
        </w:rPr>
        <w:t>漏洞扫描</w:t>
      </w:r>
      <w:bookmarkEnd w:id="38"/>
      <w:r>
        <w:rPr>
          <w:rFonts w:hint="eastAsia"/>
          <w:sz w:val="28"/>
          <w:szCs w:val="28"/>
          <w:lang w:eastAsia="zh-CN"/>
        </w:rPr>
        <w:t>、</w:t>
      </w:r>
      <w:bookmarkStart w:id="39" w:name="_Toc7481"/>
      <w:r>
        <w:rPr>
          <w:rFonts w:hint="eastAsia"/>
          <w:sz w:val="28"/>
          <w:szCs w:val="28"/>
        </w:rPr>
        <w:t>风险评估</w:t>
      </w:r>
      <w:bookmarkEnd w:id="39"/>
      <w:r>
        <w:rPr>
          <w:rFonts w:hint="eastAsia"/>
          <w:sz w:val="28"/>
          <w:szCs w:val="28"/>
          <w:lang w:eastAsia="zh-CN"/>
        </w:rPr>
        <w:t>、</w:t>
      </w:r>
      <w:bookmarkStart w:id="40" w:name="_Toc712"/>
      <w:r>
        <w:rPr>
          <w:sz w:val="28"/>
          <w:szCs w:val="28"/>
        </w:rPr>
        <w:t>安全策略优化</w:t>
      </w:r>
      <w:bookmarkEnd w:id="40"/>
      <w:r>
        <w:rPr>
          <w:rFonts w:hint="eastAsia"/>
          <w:sz w:val="28"/>
          <w:szCs w:val="28"/>
          <w:lang w:eastAsia="zh-CN"/>
        </w:rPr>
        <w:t>、</w:t>
      </w:r>
      <w:bookmarkStart w:id="41" w:name="_Toc14913"/>
      <w:r>
        <w:rPr>
          <w:rFonts w:hint="eastAsia"/>
          <w:sz w:val="28"/>
          <w:szCs w:val="28"/>
        </w:rPr>
        <w:t>安全应急演练</w:t>
      </w:r>
      <w:bookmarkEnd w:id="41"/>
      <w:r>
        <w:rPr>
          <w:rFonts w:hint="eastAsia"/>
          <w:sz w:val="28"/>
          <w:szCs w:val="28"/>
          <w:lang w:eastAsia="zh-CN"/>
        </w:rPr>
        <w:t>、</w:t>
      </w:r>
      <w:bookmarkStart w:id="42" w:name="_Toc14808"/>
      <w:r>
        <w:rPr>
          <w:rFonts w:hint="eastAsia"/>
          <w:sz w:val="28"/>
          <w:szCs w:val="28"/>
        </w:rPr>
        <w:t>攻防演练现场值守</w:t>
      </w:r>
      <w:bookmarkEnd w:id="42"/>
      <w:r>
        <w:rPr>
          <w:rFonts w:hint="eastAsia"/>
          <w:sz w:val="28"/>
          <w:szCs w:val="28"/>
          <w:lang w:eastAsia="zh-CN"/>
        </w:rPr>
        <w:t>、</w:t>
      </w:r>
      <w:bookmarkStart w:id="43" w:name="_Toc28095"/>
      <w:r>
        <w:rPr>
          <w:rFonts w:hint="eastAsia"/>
          <w:sz w:val="28"/>
          <w:szCs w:val="28"/>
        </w:rPr>
        <w:t>安全意识培训</w:t>
      </w:r>
      <w:bookmarkEnd w:id="43"/>
      <w:r>
        <w:rPr>
          <w:rFonts w:hint="eastAsia"/>
          <w:sz w:val="28"/>
          <w:szCs w:val="28"/>
          <w:lang w:val="en-US" w:eastAsia="zh-CN"/>
        </w:rPr>
        <w:t>等。</w:t>
      </w:r>
    </w:p>
    <w:p w14:paraId="4B187473"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88659"/>
    <w:multiLevelType w:val="singleLevel"/>
    <w:tmpl w:val="A3B886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E48642C"/>
    <w:multiLevelType w:val="singleLevel"/>
    <w:tmpl w:val="4E4864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B3C5C6"/>
    <w:multiLevelType w:val="singleLevel"/>
    <w:tmpl w:val="5BB3C5C6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662AE"/>
    <w:rsid w:val="001B0437"/>
    <w:rsid w:val="002259C6"/>
    <w:rsid w:val="00286E7C"/>
    <w:rsid w:val="002C52D7"/>
    <w:rsid w:val="002C61F7"/>
    <w:rsid w:val="00396963"/>
    <w:rsid w:val="003B42DE"/>
    <w:rsid w:val="005301FE"/>
    <w:rsid w:val="0054074B"/>
    <w:rsid w:val="0057195C"/>
    <w:rsid w:val="00596069"/>
    <w:rsid w:val="00653898"/>
    <w:rsid w:val="007B1518"/>
    <w:rsid w:val="008C75EA"/>
    <w:rsid w:val="00A662AE"/>
    <w:rsid w:val="00AD4BE5"/>
    <w:rsid w:val="00B918D5"/>
    <w:rsid w:val="00BC762C"/>
    <w:rsid w:val="00DE1BE7"/>
    <w:rsid w:val="013B0DE8"/>
    <w:rsid w:val="016C0FA1"/>
    <w:rsid w:val="03B24C65"/>
    <w:rsid w:val="04447FB3"/>
    <w:rsid w:val="049B0B31"/>
    <w:rsid w:val="04F30A6D"/>
    <w:rsid w:val="05B31D8A"/>
    <w:rsid w:val="073D23CB"/>
    <w:rsid w:val="07CE7264"/>
    <w:rsid w:val="07E37AE3"/>
    <w:rsid w:val="088A1B31"/>
    <w:rsid w:val="08F17FDE"/>
    <w:rsid w:val="093E394B"/>
    <w:rsid w:val="095A3DD5"/>
    <w:rsid w:val="095D169E"/>
    <w:rsid w:val="099217C1"/>
    <w:rsid w:val="0A474359"/>
    <w:rsid w:val="0B143B8D"/>
    <w:rsid w:val="0BBE1E2E"/>
    <w:rsid w:val="0C813E69"/>
    <w:rsid w:val="0C994C14"/>
    <w:rsid w:val="0D3C0C0C"/>
    <w:rsid w:val="0D76732C"/>
    <w:rsid w:val="0D93327E"/>
    <w:rsid w:val="0DB333E3"/>
    <w:rsid w:val="0DEE2D3E"/>
    <w:rsid w:val="0DF540CC"/>
    <w:rsid w:val="0E6331E7"/>
    <w:rsid w:val="0F31382A"/>
    <w:rsid w:val="0F4E618A"/>
    <w:rsid w:val="102A2753"/>
    <w:rsid w:val="110A553C"/>
    <w:rsid w:val="12436606"/>
    <w:rsid w:val="13517FF7"/>
    <w:rsid w:val="136E2957"/>
    <w:rsid w:val="13A018EC"/>
    <w:rsid w:val="141177C1"/>
    <w:rsid w:val="14291079"/>
    <w:rsid w:val="14DD5D5A"/>
    <w:rsid w:val="15467FEB"/>
    <w:rsid w:val="1582093B"/>
    <w:rsid w:val="15DB6E28"/>
    <w:rsid w:val="16096967"/>
    <w:rsid w:val="16495EA1"/>
    <w:rsid w:val="1A427E85"/>
    <w:rsid w:val="1B041DF3"/>
    <w:rsid w:val="1BEC2FB3"/>
    <w:rsid w:val="1C2344FA"/>
    <w:rsid w:val="1CA23671"/>
    <w:rsid w:val="1CC0614A"/>
    <w:rsid w:val="1DC745C9"/>
    <w:rsid w:val="1E403142"/>
    <w:rsid w:val="1E6E4153"/>
    <w:rsid w:val="1E85324A"/>
    <w:rsid w:val="1EE61F3B"/>
    <w:rsid w:val="1EE77A61"/>
    <w:rsid w:val="1F5F3A9B"/>
    <w:rsid w:val="200D1749"/>
    <w:rsid w:val="20291F01"/>
    <w:rsid w:val="20F22EC2"/>
    <w:rsid w:val="21162880"/>
    <w:rsid w:val="21717AB6"/>
    <w:rsid w:val="21A7055E"/>
    <w:rsid w:val="21E62252"/>
    <w:rsid w:val="23333275"/>
    <w:rsid w:val="2355143D"/>
    <w:rsid w:val="23FF584D"/>
    <w:rsid w:val="242F6132"/>
    <w:rsid w:val="24305A06"/>
    <w:rsid w:val="246444F3"/>
    <w:rsid w:val="24E862E1"/>
    <w:rsid w:val="25EC4C76"/>
    <w:rsid w:val="26C62976"/>
    <w:rsid w:val="27182EAE"/>
    <w:rsid w:val="27457CE6"/>
    <w:rsid w:val="27B65DA8"/>
    <w:rsid w:val="281F64BE"/>
    <w:rsid w:val="284E28FF"/>
    <w:rsid w:val="297840D8"/>
    <w:rsid w:val="2B391645"/>
    <w:rsid w:val="2C4E297E"/>
    <w:rsid w:val="2CDE06F5"/>
    <w:rsid w:val="2CFD2AD6"/>
    <w:rsid w:val="2D340315"/>
    <w:rsid w:val="2E145E92"/>
    <w:rsid w:val="2E6E7857"/>
    <w:rsid w:val="2E7974B8"/>
    <w:rsid w:val="2E9A4AF0"/>
    <w:rsid w:val="2F097580"/>
    <w:rsid w:val="2FD47B8E"/>
    <w:rsid w:val="301E7E7B"/>
    <w:rsid w:val="30C23E8A"/>
    <w:rsid w:val="31300B1D"/>
    <w:rsid w:val="31846EB4"/>
    <w:rsid w:val="32476860"/>
    <w:rsid w:val="32DD4FAB"/>
    <w:rsid w:val="33527747"/>
    <w:rsid w:val="336E20A7"/>
    <w:rsid w:val="34703180"/>
    <w:rsid w:val="34D83C7C"/>
    <w:rsid w:val="35F74D73"/>
    <w:rsid w:val="368E4F3A"/>
    <w:rsid w:val="36A543D1"/>
    <w:rsid w:val="36CE17DB"/>
    <w:rsid w:val="36E85169"/>
    <w:rsid w:val="36EA7C97"/>
    <w:rsid w:val="378660C8"/>
    <w:rsid w:val="37941808"/>
    <w:rsid w:val="37DE77FC"/>
    <w:rsid w:val="37E64902"/>
    <w:rsid w:val="391E13D2"/>
    <w:rsid w:val="3A5F274A"/>
    <w:rsid w:val="3BD66A3C"/>
    <w:rsid w:val="3C3F2833"/>
    <w:rsid w:val="3CC176EC"/>
    <w:rsid w:val="3D5278D3"/>
    <w:rsid w:val="3D8E75CE"/>
    <w:rsid w:val="3DC96858"/>
    <w:rsid w:val="3E3363C7"/>
    <w:rsid w:val="3EA3340A"/>
    <w:rsid w:val="3F275F2C"/>
    <w:rsid w:val="3F7048A0"/>
    <w:rsid w:val="3FA23805"/>
    <w:rsid w:val="3FE060DB"/>
    <w:rsid w:val="40330482"/>
    <w:rsid w:val="408013A3"/>
    <w:rsid w:val="40833636"/>
    <w:rsid w:val="43582127"/>
    <w:rsid w:val="436C6603"/>
    <w:rsid w:val="43C224F4"/>
    <w:rsid w:val="44A92F3F"/>
    <w:rsid w:val="44F543D6"/>
    <w:rsid w:val="453E0AA9"/>
    <w:rsid w:val="468D5700"/>
    <w:rsid w:val="47B71E17"/>
    <w:rsid w:val="482D4501"/>
    <w:rsid w:val="483B1810"/>
    <w:rsid w:val="483D056E"/>
    <w:rsid w:val="48990E52"/>
    <w:rsid w:val="48C540C0"/>
    <w:rsid w:val="491A6EA9"/>
    <w:rsid w:val="4921579A"/>
    <w:rsid w:val="494E7DE0"/>
    <w:rsid w:val="496E6505"/>
    <w:rsid w:val="49951DB7"/>
    <w:rsid w:val="4A2D22B6"/>
    <w:rsid w:val="4A590F64"/>
    <w:rsid w:val="4AE253FD"/>
    <w:rsid w:val="4AF018C8"/>
    <w:rsid w:val="4B4340EE"/>
    <w:rsid w:val="4BA57A8F"/>
    <w:rsid w:val="4CD945DE"/>
    <w:rsid w:val="4D072EF9"/>
    <w:rsid w:val="4D5D6FBD"/>
    <w:rsid w:val="4DCF5FFB"/>
    <w:rsid w:val="4DFA0CB0"/>
    <w:rsid w:val="4E1C29D4"/>
    <w:rsid w:val="4F376970"/>
    <w:rsid w:val="510559A1"/>
    <w:rsid w:val="51182DC8"/>
    <w:rsid w:val="51D3277A"/>
    <w:rsid w:val="523E1047"/>
    <w:rsid w:val="524129E9"/>
    <w:rsid w:val="52642B9B"/>
    <w:rsid w:val="52B70F1D"/>
    <w:rsid w:val="533267F6"/>
    <w:rsid w:val="534053B7"/>
    <w:rsid w:val="53E44047"/>
    <w:rsid w:val="54243AAD"/>
    <w:rsid w:val="545E6503"/>
    <w:rsid w:val="546E70F8"/>
    <w:rsid w:val="54813591"/>
    <w:rsid w:val="54E760A5"/>
    <w:rsid w:val="55314FB7"/>
    <w:rsid w:val="568B6949"/>
    <w:rsid w:val="56D025AE"/>
    <w:rsid w:val="575C5AF9"/>
    <w:rsid w:val="57B27F05"/>
    <w:rsid w:val="583848AE"/>
    <w:rsid w:val="58EF6FCF"/>
    <w:rsid w:val="5974677C"/>
    <w:rsid w:val="59CF2FF0"/>
    <w:rsid w:val="5A8D40A0"/>
    <w:rsid w:val="5A9E28C7"/>
    <w:rsid w:val="5C5122D2"/>
    <w:rsid w:val="5D832EFE"/>
    <w:rsid w:val="5D8B5480"/>
    <w:rsid w:val="5DD465A9"/>
    <w:rsid w:val="5E6261E1"/>
    <w:rsid w:val="5EC97F6E"/>
    <w:rsid w:val="5F3F29C6"/>
    <w:rsid w:val="5F79489E"/>
    <w:rsid w:val="5F9E593F"/>
    <w:rsid w:val="5FE315A4"/>
    <w:rsid w:val="604D4C6F"/>
    <w:rsid w:val="60A4154D"/>
    <w:rsid w:val="60A71306"/>
    <w:rsid w:val="60AB50F6"/>
    <w:rsid w:val="61483DB4"/>
    <w:rsid w:val="61E33ADD"/>
    <w:rsid w:val="62A96AD4"/>
    <w:rsid w:val="63C32A7D"/>
    <w:rsid w:val="65200BE5"/>
    <w:rsid w:val="6534131C"/>
    <w:rsid w:val="66CC2D91"/>
    <w:rsid w:val="66E55C01"/>
    <w:rsid w:val="67B53825"/>
    <w:rsid w:val="68777433"/>
    <w:rsid w:val="690D143F"/>
    <w:rsid w:val="695232F6"/>
    <w:rsid w:val="69AD1A39"/>
    <w:rsid w:val="6A520D7C"/>
    <w:rsid w:val="6B256F14"/>
    <w:rsid w:val="6B3E7FD6"/>
    <w:rsid w:val="6C621AA2"/>
    <w:rsid w:val="6C81017A"/>
    <w:rsid w:val="6C991968"/>
    <w:rsid w:val="6CEF1588"/>
    <w:rsid w:val="6E0E5A3E"/>
    <w:rsid w:val="6E6F00B8"/>
    <w:rsid w:val="6E963C85"/>
    <w:rsid w:val="6EA13F9E"/>
    <w:rsid w:val="70441BEA"/>
    <w:rsid w:val="70B328CC"/>
    <w:rsid w:val="70E364A3"/>
    <w:rsid w:val="713F0604"/>
    <w:rsid w:val="71B20DD6"/>
    <w:rsid w:val="72E8644B"/>
    <w:rsid w:val="73EF0E54"/>
    <w:rsid w:val="74FF07D6"/>
    <w:rsid w:val="757F5473"/>
    <w:rsid w:val="75B72E5F"/>
    <w:rsid w:val="76465F91"/>
    <w:rsid w:val="764D5571"/>
    <w:rsid w:val="76982C90"/>
    <w:rsid w:val="780879A1"/>
    <w:rsid w:val="78097B5F"/>
    <w:rsid w:val="78757AE0"/>
    <w:rsid w:val="787768D5"/>
    <w:rsid w:val="7A1D7243"/>
    <w:rsid w:val="7AA17C39"/>
    <w:rsid w:val="7AA716F4"/>
    <w:rsid w:val="7AF75AAB"/>
    <w:rsid w:val="7BFE4B2A"/>
    <w:rsid w:val="7E3D0C0A"/>
    <w:rsid w:val="7FE0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b/>
      <w:kern w:val="44"/>
      <w:sz w:val="2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/>
      <w:b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ind w:firstLine="0" w:firstLineChars="0"/>
      <w:outlineLvl w:val="2"/>
    </w:pPr>
    <w:rPr>
      <w:b/>
      <w:sz w:val="28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ind w:firstLine="0" w:firstLineChars="0"/>
      <w:outlineLvl w:val="3"/>
    </w:pPr>
    <w:rPr>
      <w:rFonts w:ascii="Arial" w:hAnsi="Arial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/>
    </w:pPr>
  </w:style>
  <w:style w:type="paragraph" w:styleId="7">
    <w:name w:val="Body Text"/>
    <w:basedOn w:val="1"/>
    <w:next w:val="1"/>
    <w:qFormat/>
    <w:uiPriority w:val="0"/>
    <w:pPr>
      <w:spacing w:line="240" w:lineRule="atLeast"/>
    </w:pPr>
    <w:rPr>
      <w:sz w:val="30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 2"/>
    <w:basedOn w:val="8"/>
    <w:qFormat/>
    <w:uiPriority w:val="0"/>
    <w:pPr>
      <w:ind w:left="0" w:leftChars="0"/>
    </w:pPr>
    <w:rPr>
      <w:kern w:val="2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"/>
    <w:basedOn w:val="1"/>
    <w:autoRedefine/>
    <w:qFormat/>
    <w:uiPriority w:val="0"/>
    <w:pPr>
      <w:ind w:firstLine="0" w:firstLineChars="0"/>
    </w:pPr>
    <w:rPr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3909</Words>
  <Characters>4023</Characters>
  <Lines>57</Lines>
  <Paragraphs>16</Paragraphs>
  <TotalTime>31</TotalTime>
  <ScaleCrop>false</ScaleCrop>
  <LinksUpToDate>false</LinksUpToDate>
  <CharactersWithSpaces>4028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2025-02-25T00:37:00Z</dcterms:created>
  <dc:creator>liqiang</dc:creator>
  <cp:lastModifiedBy>夏有乔木</cp:lastModifiedBy>
  <dcterms:modified xsi:type="dcterms:W3CDTF">2025-02-25T02:46:12Z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2FBD62012A144226BAAE583D48400EA5_12</vt:lpwstr>
  </property>
  <property fmtid="{D5CDD505-2E9C-101B-9397-08002B2CF9AE}" pid="4" name="KSOTemplateDocerSaveRecord">
    <vt:lpwstr>eyJoZGlkIjoiNTcyMDdjNDA0YmU1YTU2OTEzZTE4OThmNTU0MDIyODEiLCJ1c2VySWQiOiIyNTQ1MDc0OTMifQ==</vt:lpwstr>
  </property>
</Properties>
</file>