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D1F41"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自助打印机维保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 w14:paraId="5E4E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为了保证超声报告正常发送，自助打印机正常工作，</w:t>
      </w:r>
      <w:r>
        <w:rPr>
          <w:rFonts w:hint="eastAsia" w:ascii="仿宋" w:hAnsi="仿宋" w:eastAsia="仿宋" w:cs="仿宋"/>
          <w:sz w:val="32"/>
          <w:szCs w:val="32"/>
        </w:rPr>
        <w:t>现需采购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自助打印机维保三年，预算金额9万元。</w:t>
      </w:r>
    </w:p>
    <w:p w14:paraId="0330791E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本项目需满足的基本需求包括：</w:t>
      </w:r>
    </w:p>
    <w:p w14:paraId="676FD38F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一、维保设备</w:t>
      </w:r>
    </w:p>
    <w:p w14:paraId="7EFD6B9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超声科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现有的三台自助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打印机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设备全年的硬件维修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和软件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维护及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升级服务，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确保设备的稳定运行与高效服务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225330FA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二、维保内容</w:t>
      </w:r>
    </w:p>
    <w:p w14:paraId="43A164C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巡检：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每季度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对设备进行全面检查，包括但不限于打印质量、网络连接稳定性、触控屏灵敏度等。</w:t>
      </w:r>
    </w:p>
    <w:p w14:paraId="26F8C658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2. 预防性维护：根据设备使用手册及历史故障数据，实施必要的清洁、校准、固件升级等预防性措施。</w:t>
      </w:r>
    </w:p>
    <w:p w14:paraId="0EE3135D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3. 故障维修：对于任何影响设备正常运行的故障，提供快速响应与专业维修服务，确保设备尽快恢复使用。</w:t>
      </w:r>
    </w:p>
    <w:p w14:paraId="0B69C3C4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4. 软件支持：包括但不限于操作系统更新、打印驱动维护、用户界面优化等，保证设备软件处于最新状态。</w:t>
      </w:r>
    </w:p>
    <w:p w14:paraId="40E6E0E8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、技术服务响应</w:t>
      </w:r>
    </w:p>
    <w:p w14:paraId="47E822E1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1. 响应时间：接到报修通知后，承诺2小时内电话回复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0A43B12B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2.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现场技术支持服务</w:t>
      </w:r>
    </w:p>
    <w:p w14:paraId="5DF5D224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1）工程师在报修后24小时到达现场，及时排除仪器故障。工程师每季度巡视一次，遇到问题及时解决。</w:t>
      </w:r>
    </w:p>
    <w:p w14:paraId="7B31BFE1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2）配合医院进行软件维护升级，并对设备的定期清洗、调试、维护。</w:t>
      </w:r>
    </w:p>
    <w:p w14:paraId="48B55B0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3. 培训与指导：提供设备操作及基本维护培训，确保用户能够熟练使用并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提供常见问题的解决办法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68C4E74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五、配件供应</w:t>
      </w:r>
    </w:p>
    <w:p w14:paraId="690D53C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 配件库存：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建立常用配件库存，确保故障发生时能够迅速更换。</w:t>
      </w:r>
    </w:p>
    <w:p w14:paraId="3AD3F05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2. 配件来源：所有配件须为原厂或经认证的替代件，保证配件质量与兼容性。</w:t>
      </w:r>
    </w:p>
    <w:p w14:paraId="791FB2B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六、质量验收标准</w:t>
      </w:r>
    </w:p>
    <w:p w14:paraId="0E5CC3F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 性能检测：每次维保服务完成后，需进行功能及性能测试，确保设备恢复至最佳工作状态。</w:t>
      </w:r>
    </w:p>
    <w:p w14:paraId="4F942ED6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2. 用户反馈：用户需对维保服务进行评价，包括但不限于服务态度、响应速度、维修质量等。</w:t>
      </w:r>
    </w:p>
    <w:p w14:paraId="693F1404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3. 文档记录：每次维保需有详细记录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4547E68"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综上所述，本次自助打印机维保采购需求旨在通过全面、高效、专业的维保服务，确保设备的稳定运行，提升用户体验，同时为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超声科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的正常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提供坚实保障。</w:t>
      </w:r>
    </w:p>
    <w:p w14:paraId="4A2D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GU0YzhhOTE0YjkxMzQ5YTNjMzhlZDQwMTA4YmQifQ=="/>
  </w:docVars>
  <w:rsids>
    <w:rsidRoot w:val="00000000"/>
    <w:rsid w:val="3EA4619F"/>
    <w:rsid w:val="570404A9"/>
    <w:rsid w:val="7B1E54A2"/>
    <w:rsid w:val="7F6C6A8B"/>
    <w:rsid w:val="7FE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474</Characters>
  <Lines>0</Lines>
  <Paragraphs>0</Paragraphs>
  <TotalTime>23</TotalTime>
  <ScaleCrop>false</ScaleCrop>
  <LinksUpToDate>false</LinksUpToDate>
  <CharactersWithSpaces>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2024-10-24T00:44:00Z</dcterms:created>
  <dc:creator>hp</dc:creator>
  <cp:lastModifiedBy>Lenovo</cp:lastModifiedBy>
  <dcterms:modified xsi:type="dcterms:W3CDTF">2024-11-19T08:35:40Z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2A7F562828AC4EB79E199A5E96C49F6B_12</vt:lpwstr>
  </property>
</Properties>
</file>