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4F32A"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附件3采购需求</w:t>
      </w:r>
    </w:p>
    <w:p w14:paraId="7974FE97">
      <w:pPr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1生日蛋糕卡采购需求</w:t>
      </w:r>
    </w:p>
    <w:tbl>
      <w:tblPr>
        <w:tblStyle w:val="5"/>
        <w:tblpPr w:leftFromText="180" w:rightFromText="180" w:vertAnchor="text" w:horzAnchor="page" w:tblpX="1890" w:tblpY="4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985"/>
        <w:gridCol w:w="4161"/>
      </w:tblGrid>
      <w:tr w14:paraId="27D6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57B05042">
            <w:pPr>
              <w:jc w:val="center"/>
              <w:rPr>
                <w:rFonts w:hint="eastAsia" w:ascii="楷体" w:hAnsi="楷体" w:eastAsia="楷体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 w14:paraId="2069119E">
            <w:pPr>
              <w:jc w:val="center"/>
              <w:rPr>
                <w:rFonts w:hint="eastAsia" w:ascii="楷体" w:hAnsi="楷体" w:eastAsia="楷体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品  名</w:t>
            </w:r>
          </w:p>
        </w:tc>
        <w:tc>
          <w:tcPr>
            <w:tcW w:w="1985" w:type="dxa"/>
            <w:noWrap w:val="0"/>
            <w:vAlign w:val="top"/>
          </w:tcPr>
          <w:p w14:paraId="50BD9D26">
            <w:pPr>
              <w:ind w:firstLine="301" w:firstLineChars="100"/>
              <w:jc w:val="both"/>
              <w:rPr>
                <w:rFonts w:hint="eastAsia" w:ascii="楷体" w:hAnsi="楷体" w:eastAsia="楷体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规   格</w:t>
            </w:r>
          </w:p>
        </w:tc>
        <w:tc>
          <w:tcPr>
            <w:tcW w:w="4161" w:type="dxa"/>
            <w:noWrap w:val="0"/>
            <w:vAlign w:val="top"/>
          </w:tcPr>
          <w:p w14:paraId="2E5E540C">
            <w:pPr>
              <w:ind w:firstLine="904" w:firstLineChars="300"/>
              <w:jc w:val="both"/>
              <w:rPr>
                <w:rFonts w:hint="default" w:ascii="楷体" w:hAnsi="楷体" w:eastAsia="楷体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备       注</w:t>
            </w:r>
          </w:p>
        </w:tc>
      </w:tr>
      <w:tr w14:paraId="1CF0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073BA609"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  <w:t>包一</w:t>
            </w:r>
          </w:p>
          <w:p w14:paraId="2A0F6741">
            <w:pPr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中国医学科学院肿瘤医院（山西省肿瘤医院）2025年“职工生日蛋糕卡”</w:t>
            </w:r>
          </w:p>
        </w:tc>
        <w:tc>
          <w:tcPr>
            <w:tcW w:w="1417" w:type="dxa"/>
            <w:noWrap w:val="0"/>
            <w:vAlign w:val="top"/>
          </w:tcPr>
          <w:p w14:paraId="7DDC76D5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0F3F1B5F">
            <w:pPr>
              <w:jc w:val="center"/>
              <w:rPr>
                <w:rFonts w:hint="eastAsia" w:ascii="华文仿宋" w:hAnsi="华文仿宋" w:eastAsia="华文仿宋" w:cs="Times New Roman"/>
                <w:sz w:val="30"/>
                <w:szCs w:val="30"/>
                <w:lang w:val="en-US" w:eastAsia="zh-CN"/>
              </w:rPr>
            </w:pPr>
          </w:p>
          <w:p w14:paraId="6B80BE21">
            <w:pPr>
              <w:jc w:val="center"/>
              <w:rPr>
                <w:rFonts w:hint="eastAsia" w:ascii="华文仿宋" w:hAnsi="华文仿宋" w:eastAsia="华文仿宋" w:cs="Times New Roman"/>
                <w:sz w:val="30"/>
                <w:szCs w:val="30"/>
                <w:lang w:val="en-US" w:eastAsia="zh-CN"/>
              </w:rPr>
            </w:pPr>
          </w:p>
          <w:p w14:paraId="3DE530C0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  <w:lang w:val="en-US" w:eastAsia="zh-CN"/>
              </w:rPr>
              <w:t>职工生日蛋糕卡</w:t>
            </w:r>
          </w:p>
        </w:tc>
        <w:tc>
          <w:tcPr>
            <w:tcW w:w="1985" w:type="dxa"/>
            <w:noWrap w:val="0"/>
            <w:vAlign w:val="center"/>
          </w:tcPr>
          <w:p w14:paraId="0A4FD098">
            <w:pPr>
              <w:jc w:val="left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结算价：</w:t>
            </w:r>
          </w:p>
          <w:p w14:paraId="19011A96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300元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/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人</w:t>
            </w:r>
          </w:p>
          <w:p w14:paraId="57788F91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预算金额：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114万元（根据职工选择情况据实结算）</w:t>
            </w:r>
          </w:p>
        </w:tc>
        <w:tc>
          <w:tcPr>
            <w:tcW w:w="4161" w:type="dxa"/>
            <w:noWrap w:val="0"/>
            <w:vAlign w:val="top"/>
          </w:tcPr>
          <w:p w14:paraId="2EE4490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06" w:firstLineChars="202"/>
              <w:textAlignment w:val="auto"/>
              <w:rPr>
                <w:rFonts w:hint="eastAsia" w:ascii="华文仿宋" w:hAnsi="华文仿宋" w:eastAsia="华文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30"/>
                <w:szCs w:val="30"/>
                <w:lang w:val="en-US" w:eastAsia="zh-CN" w:bidi="ar-SA"/>
              </w:rPr>
              <w:t>采购结算价格为每张卡300元，供应商在此基础上提供蛋糕卡实际面额及附赠内容（如有）。</w:t>
            </w:r>
          </w:p>
          <w:p w14:paraId="2D43169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06" w:firstLineChars="202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30"/>
                <w:szCs w:val="30"/>
                <w:lang w:val="en-US" w:eastAsia="zh-CN" w:bidi="ar-SA"/>
              </w:rPr>
              <w:t>要求蛋糕卡可购买店内任意食品。店内食品需种类丰富，包含但不限于蛋糕、面包等烘焙食品。</w:t>
            </w:r>
          </w:p>
          <w:p w14:paraId="18DB36AB">
            <w:pPr>
              <w:widowControl/>
              <w:autoSpaceDE w:val="0"/>
              <w:spacing w:line="360" w:lineRule="auto"/>
              <w:jc w:val="left"/>
              <w:textAlignment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  <w:tr w14:paraId="4890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682996E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  <w:t>包二</w:t>
            </w:r>
          </w:p>
          <w:p w14:paraId="29DEED41">
            <w:pPr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中国医学科学院肿瘤医院（山西省肿瘤医院）2025年“职工生日蛋糕卡”</w:t>
            </w:r>
          </w:p>
        </w:tc>
        <w:tc>
          <w:tcPr>
            <w:tcW w:w="1417" w:type="dxa"/>
            <w:noWrap w:val="0"/>
            <w:vAlign w:val="top"/>
          </w:tcPr>
          <w:p w14:paraId="3A60876E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6FF9B2EE">
            <w:pPr>
              <w:jc w:val="center"/>
              <w:rPr>
                <w:rFonts w:hint="eastAsia" w:ascii="华文仿宋" w:hAnsi="华文仿宋" w:eastAsia="华文仿宋" w:cs="Times New Roman"/>
                <w:sz w:val="30"/>
                <w:szCs w:val="30"/>
                <w:lang w:val="en-US" w:eastAsia="zh-CN"/>
              </w:rPr>
            </w:pPr>
          </w:p>
          <w:p w14:paraId="2FDCD9D8">
            <w:pPr>
              <w:jc w:val="center"/>
              <w:rPr>
                <w:rFonts w:hint="eastAsia" w:ascii="华文仿宋" w:hAnsi="华文仿宋" w:eastAsia="华文仿宋" w:cs="Times New Roman"/>
                <w:sz w:val="30"/>
                <w:szCs w:val="30"/>
                <w:lang w:val="en-US" w:eastAsia="zh-CN"/>
              </w:rPr>
            </w:pPr>
          </w:p>
          <w:p w14:paraId="0766F8E2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  <w:lang w:val="en-US" w:eastAsia="zh-CN"/>
              </w:rPr>
              <w:t>职工生日蛋糕卡</w:t>
            </w:r>
          </w:p>
        </w:tc>
        <w:tc>
          <w:tcPr>
            <w:tcW w:w="1985" w:type="dxa"/>
            <w:noWrap w:val="0"/>
            <w:vAlign w:val="center"/>
          </w:tcPr>
          <w:p w14:paraId="4FD49D91">
            <w:pPr>
              <w:jc w:val="left"/>
              <w:rPr>
                <w:rFonts w:hint="eastAsia" w:ascii="华文仿宋" w:hAnsi="华文仿宋" w:eastAsia="华文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结算价：</w:t>
            </w:r>
          </w:p>
          <w:p w14:paraId="5EEEE299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300元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/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人</w:t>
            </w:r>
          </w:p>
          <w:p w14:paraId="11A5D11E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预算金额：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114万元（根据职工选择情况据实结算）</w:t>
            </w:r>
          </w:p>
        </w:tc>
        <w:tc>
          <w:tcPr>
            <w:tcW w:w="4161" w:type="dxa"/>
            <w:noWrap w:val="0"/>
            <w:vAlign w:val="top"/>
          </w:tcPr>
          <w:p w14:paraId="3EFE30E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46" w:firstLineChars="202"/>
              <w:textAlignment w:val="auto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  <w:t>采购结算价格为每张卡300元，供应商在此基础上提供蛋糕卡实际面额及附赠内容（如有）。</w:t>
            </w:r>
          </w:p>
          <w:p w14:paraId="7C7F2E3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46" w:firstLineChars="202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  <w:t>要求蛋糕卡可购买店内任意食品。店内食品需种类丰富，包含但不限于蛋糕、面包等烘焙食品。</w:t>
            </w:r>
          </w:p>
          <w:p w14:paraId="7FDDDBB6">
            <w:pPr>
              <w:widowControl/>
              <w:autoSpaceDE w:val="0"/>
              <w:spacing w:line="360" w:lineRule="auto"/>
              <w:jc w:val="left"/>
              <w:textAlignment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</w:p>
        </w:tc>
      </w:tr>
    </w:tbl>
    <w:p w14:paraId="776D9909">
      <w:pPr>
        <w:ind w:firstLine="960" w:firstLineChars="3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B2947FE"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4362A7D">
      <w:pPr>
        <w:bidi w:val="0"/>
        <w:rPr>
          <w:rFonts w:hint="default"/>
          <w:lang w:val="en-US" w:eastAsia="zh-CN"/>
        </w:rPr>
      </w:pPr>
    </w:p>
    <w:p w14:paraId="28A27BC7">
      <w:pPr>
        <w:bidi w:val="0"/>
        <w:rPr>
          <w:rFonts w:hint="default"/>
          <w:lang w:val="en-US" w:eastAsia="zh-CN"/>
        </w:rPr>
      </w:pPr>
    </w:p>
    <w:p w14:paraId="497B0E69">
      <w:pPr>
        <w:bidi w:val="0"/>
        <w:rPr>
          <w:rFonts w:hint="default"/>
          <w:lang w:val="en-US" w:eastAsia="zh-CN"/>
        </w:rPr>
      </w:pPr>
    </w:p>
    <w:p w14:paraId="4058FEFD">
      <w:pPr>
        <w:bidi w:val="0"/>
        <w:rPr>
          <w:rFonts w:hint="default"/>
          <w:lang w:val="en-US" w:eastAsia="zh-CN"/>
        </w:rPr>
      </w:pPr>
    </w:p>
    <w:p w14:paraId="3E5DFFBE">
      <w:pPr>
        <w:bidi w:val="0"/>
        <w:rPr>
          <w:rFonts w:hint="default"/>
          <w:lang w:val="en-US" w:eastAsia="zh-CN"/>
        </w:rPr>
      </w:pPr>
    </w:p>
    <w:p w14:paraId="55E70A0A">
      <w:pPr>
        <w:bidi w:val="0"/>
        <w:rPr>
          <w:rFonts w:hint="default"/>
          <w:lang w:val="en-US" w:eastAsia="zh-CN"/>
        </w:rPr>
      </w:pPr>
    </w:p>
    <w:p w14:paraId="41B72D49">
      <w:pPr>
        <w:bidi w:val="0"/>
        <w:rPr>
          <w:rFonts w:hint="default"/>
          <w:lang w:val="en-US" w:eastAsia="zh-CN"/>
        </w:rPr>
      </w:pPr>
    </w:p>
    <w:p w14:paraId="2C607B59">
      <w:pPr>
        <w:bidi w:val="0"/>
        <w:jc w:val="left"/>
        <w:rPr>
          <w:rFonts w:hint="default"/>
          <w:lang w:val="en-US" w:eastAsia="zh-CN"/>
        </w:rPr>
      </w:pPr>
    </w:p>
    <w:p w14:paraId="5C0071A7">
      <w:pPr>
        <w:bidi w:val="0"/>
        <w:jc w:val="left"/>
        <w:rPr>
          <w:rFonts w:hint="default"/>
          <w:lang w:val="en-US" w:eastAsia="zh-CN"/>
        </w:rPr>
      </w:pPr>
    </w:p>
    <w:p w14:paraId="08BAAFE2">
      <w:pPr>
        <w:bidi w:val="0"/>
        <w:jc w:val="left"/>
        <w:rPr>
          <w:rFonts w:hint="default"/>
          <w:lang w:val="en-US" w:eastAsia="zh-CN"/>
        </w:rPr>
      </w:pPr>
    </w:p>
    <w:p w14:paraId="06704C7A">
      <w:pPr>
        <w:bidi w:val="0"/>
        <w:jc w:val="left"/>
        <w:rPr>
          <w:rFonts w:hint="default"/>
          <w:lang w:val="en-US" w:eastAsia="zh-CN"/>
        </w:rPr>
      </w:pPr>
    </w:p>
    <w:p w14:paraId="32111907">
      <w:pPr>
        <w:bidi w:val="0"/>
        <w:jc w:val="left"/>
        <w:rPr>
          <w:rFonts w:hint="default"/>
          <w:lang w:val="en-US" w:eastAsia="zh-CN"/>
        </w:rPr>
      </w:pPr>
    </w:p>
    <w:p w14:paraId="6EC1313E">
      <w:pPr>
        <w:bidi w:val="0"/>
        <w:jc w:val="left"/>
        <w:rPr>
          <w:rFonts w:hint="default"/>
          <w:lang w:val="en-US" w:eastAsia="zh-CN"/>
        </w:rPr>
      </w:pPr>
    </w:p>
    <w:p w14:paraId="48A08FBA">
      <w:pPr>
        <w:bidi w:val="0"/>
        <w:jc w:val="left"/>
        <w:rPr>
          <w:rFonts w:hint="default"/>
          <w:lang w:val="en-US" w:eastAsia="zh-CN"/>
        </w:rPr>
      </w:pPr>
    </w:p>
    <w:p w14:paraId="01AFF8EC">
      <w:pPr>
        <w:bidi w:val="0"/>
        <w:jc w:val="left"/>
        <w:rPr>
          <w:rFonts w:hint="default"/>
          <w:lang w:val="en-US" w:eastAsia="zh-CN"/>
        </w:rPr>
      </w:pPr>
    </w:p>
    <w:p w14:paraId="4F7EE518">
      <w:pPr>
        <w:bidi w:val="0"/>
        <w:jc w:val="left"/>
        <w:rPr>
          <w:rFonts w:hint="default"/>
          <w:lang w:val="en-US" w:eastAsia="zh-CN"/>
        </w:rPr>
      </w:pPr>
    </w:p>
    <w:p w14:paraId="55A8E501">
      <w:pPr>
        <w:bidi w:val="0"/>
        <w:jc w:val="left"/>
        <w:rPr>
          <w:rFonts w:hint="default"/>
          <w:lang w:val="en-US" w:eastAsia="zh-CN"/>
        </w:rPr>
      </w:pPr>
    </w:p>
    <w:p w14:paraId="2FE4ABE5">
      <w:pPr>
        <w:bidi w:val="0"/>
        <w:jc w:val="left"/>
        <w:rPr>
          <w:rFonts w:hint="default"/>
          <w:lang w:val="en-US" w:eastAsia="zh-CN"/>
        </w:rPr>
      </w:pPr>
    </w:p>
    <w:p w14:paraId="56007405">
      <w:pPr>
        <w:bidi w:val="0"/>
        <w:jc w:val="left"/>
        <w:rPr>
          <w:rFonts w:hint="default"/>
          <w:lang w:val="en-US" w:eastAsia="zh-CN"/>
        </w:rPr>
      </w:pPr>
    </w:p>
    <w:p w14:paraId="7F0BDF67">
      <w:pPr>
        <w:bidi w:val="0"/>
        <w:jc w:val="left"/>
        <w:rPr>
          <w:rFonts w:hint="default"/>
          <w:lang w:val="en-US" w:eastAsia="zh-CN"/>
        </w:rPr>
      </w:pPr>
    </w:p>
    <w:p w14:paraId="3BB2BE7A">
      <w:pPr>
        <w:bidi w:val="0"/>
        <w:jc w:val="left"/>
        <w:rPr>
          <w:rFonts w:hint="default"/>
          <w:lang w:val="en-US" w:eastAsia="zh-CN"/>
        </w:rPr>
      </w:pPr>
    </w:p>
    <w:p w14:paraId="56B685C8">
      <w:pPr>
        <w:bidi w:val="0"/>
        <w:jc w:val="left"/>
        <w:rPr>
          <w:rFonts w:hint="default"/>
          <w:lang w:val="en-US" w:eastAsia="zh-CN"/>
        </w:rPr>
      </w:pPr>
    </w:p>
    <w:p w14:paraId="678B40A3">
      <w:pPr>
        <w:bidi w:val="0"/>
        <w:jc w:val="left"/>
        <w:rPr>
          <w:rFonts w:hint="default"/>
          <w:lang w:val="en-US" w:eastAsia="zh-CN"/>
        </w:rPr>
      </w:pPr>
    </w:p>
    <w:p w14:paraId="08323F2E">
      <w:pPr>
        <w:bidi w:val="0"/>
        <w:jc w:val="left"/>
        <w:rPr>
          <w:rFonts w:hint="default"/>
          <w:lang w:val="en-US" w:eastAsia="zh-CN"/>
        </w:rPr>
      </w:pPr>
    </w:p>
    <w:p w14:paraId="7B524552">
      <w:pPr>
        <w:bidi w:val="0"/>
        <w:jc w:val="left"/>
        <w:rPr>
          <w:rFonts w:hint="default"/>
          <w:lang w:val="en-US" w:eastAsia="zh-CN"/>
        </w:rPr>
      </w:pPr>
    </w:p>
    <w:p w14:paraId="56FB5895">
      <w:pPr>
        <w:bidi w:val="0"/>
        <w:jc w:val="left"/>
        <w:rPr>
          <w:rFonts w:hint="default"/>
          <w:lang w:val="en-US" w:eastAsia="zh-CN"/>
        </w:rPr>
      </w:pPr>
    </w:p>
    <w:p w14:paraId="7907A04D">
      <w:pPr>
        <w:bidi w:val="0"/>
        <w:jc w:val="left"/>
        <w:rPr>
          <w:rFonts w:hint="default"/>
          <w:lang w:val="en-US" w:eastAsia="zh-CN"/>
        </w:rPr>
      </w:pPr>
    </w:p>
    <w:p w14:paraId="44B76467">
      <w:pPr>
        <w:bidi w:val="0"/>
        <w:jc w:val="left"/>
        <w:rPr>
          <w:rFonts w:hint="default"/>
          <w:lang w:val="en-US" w:eastAsia="zh-CN"/>
        </w:rPr>
      </w:pPr>
    </w:p>
    <w:p w14:paraId="76BA052E">
      <w:pPr>
        <w:bidi w:val="0"/>
        <w:jc w:val="left"/>
        <w:rPr>
          <w:rFonts w:hint="default"/>
          <w:lang w:val="en-US" w:eastAsia="zh-CN"/>
        </w:rPr>
      </w:pPr>
    </w:p>
    <w:p w14:paraId="3CEF2799">
      <w:pPr>
        <w:bidi w:val="0"/>
        <w:jc w:val="left"/>
        <w:rPr>
          <w:rFonts w:hint="default"/>
          <w:lang w:val="en-US" w:eastAsia="zh-CN"/>
        </w:rPr>
      </w:pPr>
    </w:p>
    <w:p w14:paraId="5126CEDB">
      <w:pPr>
        <w:bidi w:val="0"/>
        <w:jc w:val="left"/>
        <w:rPr>
          <w:rFonts w:hint="default"/>
          <w:lang w:val="en-US" w:eastAsia="zh-CN"/>
        </w:rPr>
      </w:pPr>
    </w:p>
    <w:p w14:paraId="15AAFFEE">
      <w:pPr>
        <w:bidi w:val="0"/>
        <w:jc w:val="left"/>
        <w:rPr>
          <w:rFonts w:hint="default"/>
          <w:lang w:val="en-US" w:eastAsia="zh-CN"/>
        </w:rPr>
      </w:pPr>
    </w:p>
    <w:p w14:paraId="41C2786B">
      <w:pPr>
        <w:jc w:val="both"/>
        <w:rPr>
          <w:rFonts w:hint="eastAsia" w:ascii="华文仿宋" w:hAnsi="华文仿宋" w:eastAsia="华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招标方式为公开招标，共两包，投标人可对其中一包或两包进行投标，兼投不兼中。</w:t>
      </w:r>
    </w:p>
    <w:p w14:paraId="17BBD315">
      <w:pPr>
        <w:bidi w:val="0"/>
        <w:jc w:val="left"/>
        <w:rPr>
          <w:rFonts w:hint="default"/>
          <w:lang w:val="en-US" w:eastAsia="zh-CN"/>
        </w:rPr>
      </w:pPr>
    </w:p>
    <w:p w14:paraId="047893E8">
      <w:pPr>
        <w:bidi w:val="0"/>
        <w:jc w:val="left"/>
        <w:rPr>
          <w:rFonts w:hint="default"/>
          <w:lang w:val="en-US" w:eastAsia="zh-CN"/>
        </w:rPr>
      </w:pPr>
    </w:p>
    <w:p w14:paraId="71E77CF1">
      <w:pPr>
        <w:bidi w:val="0"/>
        <w:jc w:val="left"/>
        <w:rPr>
          <w:rFonts w:hint="default"/>
          <w:lang w:val="en-US" w:eastAsia="zh-CN"/>
        </w:rPr>
      </w:pPr>
    </w:p>
    <w:p w14:paraId="2C288193">
      <w:pPr>
        <w:bidi w:val="0"/>
        <w:jc w:val="left"/>
        <w:rPr>
          <w:rFonts w:hint="default"/>
          <w:lang w:val="en-US" w:eastAsia="zh-CN"/>
        </w:rPr>
      </w:pPr>
    </w:p>
    <w:p w14:paraId="1F453072">
      <w:pPr>
        <w:bidi w:val="0"/>
        <w:jc w:val="left"/>
        <w:rPr>
          <w:rFonts w:hint="default"/>
          <w:lang w:val="en-US" w:eastAsia="zh-CN"/>
        </w:rPr>
      </w:pPr>
    </w:p>
    <w:p w14:paraId="327AE85C">
      <w:pPr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2春节职工节日慰问品</w:t>
      </w:r>
    </w:p>
    <w:tbl>
      <w:tblPr>
        <w:tblStyle w:val="5"/>
        <w:tblpPr w:leftFromText="180" w:rightFromText="180" w:vertAnchor="text" w:horzAnchor="page" w:tblpX="1750" w:tblpY="9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985"/>
        <w:gridCol w:w="4161"/>
      </w:tblGrid>
      <w:tr w14:paraId="65E2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374CCE88">
            <w:pPr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 w14:paraId="1BBF9240">
            <w:pPr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品  名</w:t>
            </w:r>
          </w:p>
        </w:tc>
        <w:tc>
          <w:tcPr>
            <w:tcW w:w="1985" w:type="dxa"/>
            <w:noWrap w:val="0"/>
            <w:vAlign w:val="top"/>
          </w:tcPr>
          <w:p w14:paraId="752EF72A">
            <w:pPr>
              <w:ind w:firstLine="301" w:firstLineChars="100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规   格</w:t>
            </w:r>
          </w:p>
        </w:tc>
        <w:tc>
          <w:tcPr>
            <w:tcW w:w="4161" w:type="dxa"/>
            <w:noWrap w:val="0"/>
            <w:vAlign w:val="top"/>
          </w:tcPr>
          <w:p w14:paraId="0AB40D82">
            <w:pPr>
              <w:ind w:firstLine="1205" w:firstLineChars="400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备       注</w:t>
            </w:r>
          </w:p>
        </w:tc>
      </w:tr>
      <w:tr w14:paraId="4342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326F9378">
            <w:pPr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</w:p>
          <w:p w14:paraId="2B11C36E">
            <w:pPr>
              <w:jc w:val="center"/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lang w:val="en-US" w:eastAsia="zh-CN"/>
              </w:rPr>
              <w:t>包一</w:t>
            </w:r>
          </w:p>
          <w:p w14:paraId="78A361C4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中国医学科学院肿瘤医院（山西省肿瘤医院）2025年“春节”职工节日慰问品</w:t>
            </w:r>
          </w:p>
        </w:tc>
        <w:tc>
          <w:tcPr>
            <w:tcW w:w="1417" w:type="dxa"/>
            <w:noWrap w:val="0"/>
            <w:vAlign w:val="top"/>
          </w:tcPr>
          <w:p w14:paraId="0CB590AF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7F78FF87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45F9A2C0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52B71ED3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0E370B54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6091677A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7D8465C5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粮油等</w:t>
            </w:r>
          </w:p>
          <w:p w14:paraId="5C196DD1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59019AB">
            <w:pPr>
              <w:jc w:val="both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控制价：850元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人，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根据职工选择情况据实结算。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包括但不限于大米、小麦面粉、食用油，投标人可根据自身情况增补其他类项产品，在控制价允许范围内尽可能提供丰富、高品质的产品</w:t>
            </w:r>
          </w:p>
        </w:tc>
        <w:tc>
          <w:tcPr>
            <w:tcW w:w="4161" w:type="dxa"/>
            <w:noWrap w:val="0"/>
            <w:vAlign w:val="top"/>
          </w:tcPr>
          <w:p w14:paraId="2FB94848">
            <w:pPr>
              <w:jc w:val="both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大米：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符合GB/T19266国标优质米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有绿色产品标志和地理标志，有二维码溯源标志。</w:t>
            </w:r>
          </w:p>
          <w:p w14:paraId="4540F4D1">
            <w:pPr>
              <w:jc w:val="both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面粉：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符合GB/T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1355--2021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国标面粉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有绿色产品标志和农产品地理标志。</w:t>
            </w:r>
          </w:p>
          <w:p w14:paraId="362BEED9">
            <w:pPr>
              <w:pStyle w:val="3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食用油：符合国家食用油各项执行标准，包括标准号、卫生标准、产品质量标准、标识要求等，非转基因食用油。</w:t>
            </w:r>
          </w:p>
          <w:p w14:paraId="1552C5AA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其他类：均须符合国家相关产品质量标准</w:t>
            </w:r>
          </w:p>
        </w:tc>
      </w:tr>
      <w:tr w14:paraId="3616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15B851C1"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 w14:paraId="4223FD4E"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  <w:t>包二</w:t>
            </w:r>
          </w:p>
          <w:p w14:paraId="4E1CB44A"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 w14:paraId="574B48F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  <w:p w14:paraId="2C19DEC2"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中国医学科学院肿瘤医院（山西省肿瘤医院）2025年“春节”职工节日慰问品</w:t>
            </w:r>
          </w:p>
        </w:tc>
        <w:tc>
          <w:tcPr>
            <w:tcW w:w="1417" w:type="dxa"/>
            <w:noWrap w:val="0"/>
            <w:vAlign w:val="top"/>
          </w:tcPr>
          <w:p w14:paraId="4D11D7A2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3B1F9356">
            <w:pPr>
              <w:jc w:val="both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3D1330D1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家庭日用品等</w:t>
            </w:r>
          </w:p>
          <w:p w14:paraId="2F6DE7DA">
            <w:pPr>
              <w:jc w:val="left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（例如：小家电、床品、日化类产品等）</w:t>
            </w:r>
          </w:p>
        </w:tc>
        <w:tc>
          <w:tcPr>
            <w:tcW w:w="1985" w:type="dxa"/>
            <w:noWrap w:val="0"/>
            <w:vAlign w:val="center"/>
          </w:tcPr>
          <w:p w14:paraId="5E473ECF">
            <w:pPr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控制价：850元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人，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根据职工选择情况据实结算。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投标人可根据自身情况选择适合产品，在控制价允许范围内尽可能提供丰富、高品质的产品</w:t>
            </w:r>
          </w:p>
        </w:tc>
        <w:tc>
          <w:tcPr>
            <w:tcW w:w="4161" w:type="dxa"/>
            <w:noWrap w:val="0"/>
            <w:vAlign w:val="top"/>
          </w:tcPr>
          <w:p w14:paraId="5AF73926">
            <w:pPr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所提供产品均须符合国家相关产品质量标准</w:t>
            </w:r>
          </w:p>
        </w:tc>
      </w:tr>
      <w:tr w14:paraId="5904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5E969EBA">
            <w:pPr>
              <w:jc w:val="both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  <w:t>包三</w:t>
            </w:r>
          </w:p>
          <w:p w14:paraId="5F5D8FC2">
            <w:pPr>
              <w:jc w:val="both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 w14:paraId="7178BF4F">
            <w:pPr>
              <w:jc w:val="both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中国医学科学院肿瘤医院（山西省肿瘤医院）2025年“春节”职工节日慰问品</w:t>
            </w:r>
          </w:p>
        </w:tc>
        <w:tc>
          <w:tcPr>
            <w:tcW w:w="1417" w:type="dxa"/>
            <w:noWrap w:val="0"/>
            <w:vAlign w:val="top"/>
          </w:tcPr>
          <w:p w14:paraId="66F93D95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5BDF1BB7">
            <w:pPr>
              <w:jc w:val="both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430DD191">
            <w:pPr>
              <w:jc w:val="left"/>
              <w:rPr>
                <w:rFonts w:hint="default" w:ascii="华文仿宋" w:hAnsi="华文仿宋" w:eastAsia="华文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春节时令食品等（例如：坚果、水果、蔬菜、海鲜、冷冻食品等）</w:t>
            </w:r>
          </w:p>
        </w:tc>
        <w:tc>
          <w:tcPr>
            <w:tcW w:w="1985" w:type="dxa"/>
            <w:noWrap w:val="0"/>
            <w:vAlign w:val="center"/>
          </w:tcPr>
          <w:p w14:paraId="60FDF707">
            <w:pPr>
              <w:jc w:val="left"/>
              <w:rPr>
                <w:rFonts w:ascii="华文仿宋" w:hAnsi="华文仿宋" w:eastAsia="华文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控制价：850元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人，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根据职工选择情况据实结算。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投标人可根据自身情况选择适合产品，在控制价允许范围内尽可能提供丰富、高品质的产品</w:t>
            </w:r>
          </w:p>
        </w:tc>
        <w:tc>
          <w:tcPr>
            <w:tcW w:w="4161" w:type="dxa"/>
            <w:noWrap w:val="0"/>
            <w:vAlign w:val="top"/>
          </w:tcPr>
          <w:p w14:paraId="47BDE50E">
            <w:pPr>
              <w:jc w:val="both"/>
              <w:rPr>
                <w:rFonts w:ascii="华文仿宋" w:hAnsi="华文仿宋" w:eastAsia="华文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所提供产品均须符合国家相关产品质量标准</w:t>
            </w:r>
          </w:p>
        </w:tc>
      </w:tr>
    </w:tbl>
    <w:p w14:paraId="6665AD0A">
      <w:pPr>
        <w:bidi w:val="0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</w:p>
    <w:p w14:paraId="62E1E7DC"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5E608E5">
      <w:pPr>
        <w:bidi w:val="0"/>
        <w:rPr>
          <w:rFonts w:hint="default"/>
          <w:lang w:val="en-US" w:eastAsia="zh-CN"/>
        </w:rPr>
      </w:pPr>
    </w:p>
    <w:p w14:paraId="6C9C73C4">
      <w:pPr>
        <w:bidi w:val="0"/>
        <w:rPr>
          <w:rFonts w:hint="default"/>
          <w:lang w:val="en-US" w:eastAsia="zh-CN"/>
        </w:rPr>
      </w:pPr>
    </w:p>
    <w:p w14:paraId="03416768">
      <w:pPr>
        <w:ind w:firstLine="420" w:firstLineChars="200"/>
        <w:jc w:val="both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说明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：采购国家脱贫地区农副产品是政府指令性任务，拟通过政府指定的“脱贫地区农副产品网络销售平台”（简称“832平台”）询价采购，每人约350元。</w:t>
      </w:r>
    </w:p>
    <w:p w14:paraId="152C36DC">
      <w:pPr>
        <w:tabs>
          <w:tab w:val="left" w:pos="641"/>
        </w:tabs>
        <w:bidi w:val="0"/>
        <w:jc w:val="left"/>
        <w:rPr>
          <w:rFonts w:hint="default"/>
          <w:lang w:val="en-US" w:eastAsia="zh-CN"/>
        </w:rPr>
      </w:pPr>
    </w:p>
    <w:p w14:paraId="188DA793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23205879"/>
    <w:rsid w:val="2320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cs="Times New Roman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msonospacing"/>
    <w:basedOn w:val="1"/>
    <w:autoRedefine/>
    <w:qFormat/>
    <w:uiPriority w:val="0"/>
    <w:pPr>
      <w:widowControl/>
      <w:snapToGrid w:val="0"/>
      <w:spacing w:line="240" w:lineRule="auto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2024-11-19T03:07:00Z</dcterms:created>
  <dc:creator>hyn</dc:creator>
  <cp:lastModifiedBy>hyn</cp:lastModifiedBy>
  <dcterms:modified xsi:type="dcterms:W3CDTF">2024-11-19T03:10:58Z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F958B78C6F9A4AF487299BBD8EA0BCAE_11</vt:lpwstr>
  </property>
</Properties>
</file>